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left="-7" w:right="-9" w:firstLine="720" w:firstLineChars="300"/>
        <w:rPr>
          <w:rFonts w:ascii="黑体" w:eastAsia="黑体"/>
          <w:color w:val="auto"/>
          <w:sz w:val="32"/>
          <w:highlight w:val="none"/>
        </w:rPr>
      </w:pPr>
      <w:r>
        <w:rPr>
          <w:rFonts w:hint="eastAsia"/>
          <w:color w:val="auto"/>
          <w:sz w:val="24"/>
          <w:highlight w:val="none"/>
        </w:rPr>
        <w:t xml:space="preserve">          </w:t>
      </w:r>
      <w:r>
        <w:rPr>
          <w:rFonts w:hint="eastAsia" w:ascii="黑体" w:eastAsia="黑体"/>
          <w:color w:val="auto"/>
          <w:sz w:val="32"/>
          <w:highlight w:val="none"/>
        </w:rPr>
        <w:t>中国科学院新疆理化技术研究所</w:t>
      </w:r>
    </w:p>
    <w:p>
      <w:pPr>
        <w:spacing w:line="320" w:lineRule="exact"/>
        <w:ind w:left="-7" w:right="-9" w:firstLine="960" w:firstLineChars="300"/>
        <w:rPr>
          <w:rFonts w:ascii="黑体" w:eastAsia="黑体"/>
          <w:color w:val="auto"/>
          <w:sz w:val="32"/>
          <w:highlight w:val="none"/>
        </w:rPr>
      </w:pPr>
    </w:p>
    <w:p>
      <w:pPr>
        <w:spacing w:line="320" w:lineRule="exact"/>
        <w:ind w:left="-7" w:right="-9" w:firstLine="1600" w:firstLineChars="500"/>
        <w:rPr>
          <w:rFonts w:ascii="黑体" w:eastAsia="黑体"/>
          <w:color w:val="auto"/>
          <w:sz w:val="32"/>
          <w:highlight w:val="none"/>
        </w:rPr>
      </w:pPr>
      <w:r>
        <w:rPr>
          <w:rFonts w:hint="eastAsia" w:ascii="黑体" w:eastAsia="黑体"/>
          <w:color w:val="auto"/>
          <w:sz w:val="32"/>
          <w:highlight w:val="none"/>
        </w:rPr>
        <w:t>材料物理与化学二级学科研究生培养方案</w:t>
      </w:r>
    </w:p>
    <w:p>
      <w:pPr>
        <w:spacing w:line="320" w:lineRule="exact"/>
        <w:ind w:left="-7" w:right="-9" w:firstLine="1600" w:firstLineChars="500"/>
        <w:rPr>
          <w:rFonts w:ascii="黑体" w:eastAsia="黑体"/>
          <w:color w:val="auto"/>
          <w:sz w:val="32"/>
          <w:highlight w:val="none"/>
        </w:rPr>
      </w:pPr>
    </w:p>
    <w:p>
      <w:pPr>
        <w:spacing w:line="320" w:lineRule="exact"/>
        <w:ind w:left="-7" w:right="-9" w:firstLine="1600" w:firstLineChars="500"/>
        <w:rPr>
          <w:rFonts w:ascii="黑体" w:eastAsia="黑体"/>
          <w:color w:val="auto"/>
          <w:sz w:val="32"/>
          <w:highlight w:val="none"/>
        </w:rPr>
      </w:pPr>
    </w:p>
    <w:p>
      <w:pPr>
        <w:spacing w:line="320" w:lineRule="exact"/>
        <w:ind w:left="-7" w:right="-9" w:firstLine="2811" w:firstLineChars="1000"/>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第一部分  学科特色</w:t>
      </w:r>
    </w:p>
    <w:p>
      <w:pPr>
        <w:spacing w:line="420" w:lineRule="exact"/>
        <w:ind w:firstLine="2530" w:firstLineChars="900"/>
        <w:rPr>
          <w:rFonts w:ascii="黑体" w:hAnsi="黑体" w:eastAsia="黑体"/>
          <w:b/>
          <w:bCs/>
          <w:color w:val="auto"/>
          <w:sz w:val="28"/>
          <w:szCs w:val="28"/>
          <w:highlight w:val="none"/>
        </w:rPr>
      </w:pPr>
    </w:p>
    <w:p>
      <w:pPr>
        <w:spacing w:line="420" w:lineRule="exact"/>
        <w:ind w:firstLine="480" w:firstLineChars="200"/>
        <w:rPr>
          <w:rFonts w:ascii="Times New Roman"/>
          <w:color w:val="auto"/>
          <w:szCs w:val="21"/>
          <w:highlight w:val="none"/>
        </w:rPr>
      </w:pPr>
      <w:r>
        <w:rPr>
          <w:rFonts w:hint="eastAsia"/>
          <w:color w:val="auto"/>
          <w:sz w:val="24"/>
          <w:highlight w:val="none"/>
        </w:rPr>
        <w:t>材料物理与化学学科面向世界科技前沿和国家重大需求，聚焦光电、空天、海洋等应用环境需求，开展特殊环境功能材料与器件的基础和应用基础研究。面向全固态激光技术应用发展需求，布局新型光电功能晶体材料的设计、合成、生长、器件和应用评估等研究方向。面向空天海洋战略对高端温度测控元器件相关核心材料和关键技术的国产自主化需求，布局热敏电阻材料设计合成、器件集成、传感器封装技术等研究方向；面向新疆的安全和环保需求，布局高分子纳米复合材料及微纳传感材料与爆炸物检测等研究方向；</w:t>
      </w:r>
      <w:r>
        <w:rPr>
          <w:rFonts w:hint="eastAsia" w:ascii="Times New Roman"/>
          <w:color w:val="auto"/>
          <w:sz w:val="24"/>
          <w:highlight w:val="none"/>
        </w:rPr>
        <w:t>面向区域经济发展以及空间、环境、能源等领域对高性能分离材料的迫切需求，强化分离材料与技术的学科建设，开展纤维表面功能化、液-液分离材料的制备、污染控制过程中分离物与分离材料的界面作用机制等核心基础原理和关键技术的研究。</w:t>
      </w:r>
    </w:p>
    <w:p>
      <w:pPr>
        <w:pStyle w:val="9"/>
        <w:snapToGrid w:val="0"/>
        <w:spacing w:before="240" w:beforeLines="100" w:after="120" w:afterLines="50" w:line="300" w:lineRule="auto"/>
        <w:ind w:firstLine="0" w:firstLineChars="0"/>
        <w:jc w:val="center"/>
        <w:rPr>
          <w:rFonts w:ascii="黑体" w:hAnsi="黑体" w:eastAsia="黑体"/>
          <w:b/>
          <w:bCs/>
          <w:color w:val="auto"/>
          <w:sz w:val="28"/>
          <w:szCs w:val="28"/>
          <w:highlight w:val="none"/>
        </w:rPr>
      </w:pPr>
    </w:p>
    <w:p>
      <w:pPr>
        <w:pStyle w:val="9"/>
        <w:snapToGrid w:val="0"/>
        <w:spacing w:before="240" w:beforeLines="100" w:after="120" w:afterLines="50" w:line="300" w:lineRule="auto"/>
        <w:ind w:firstLine="0" w:firstLineChars="0"/>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第二部分 硕士研究生培养方案</w:t>
      </w:r>
    </w:p>
    <w:p>
      <w:pPr>
        <w:spacing w:line="420" w:lineRule="exact"/>
        <w:ind w:firstLine="480" w:firstLineChars="200"/>
        <w:rPr>
          <w:color w:val="auto"/>
          <w:sz w:val="24"/>
          <w:highlight w:val="none"/>
        </w:rPr>
      </w:pPr>
    </w:p>
    <w:p>
      <w:pPr>
        <w:spacing w:line="420" w:lineRule="exact"/>
        <w:rPr>
          <w:b/>
          <w:bCs/>
          <w:color w:val="auto"/>
          <w:sz w:val="24"/>
          <w:highlight w:val="none"/>
        </w:rPr>
      </w:pPr>
      <w:r>
        <w:rPr>
          <w:rFonts w:hint="eastAsia"/>
          <w:b/>
          <w:bCs/>
          <w:color w:val="auto"/>
          <w:sz w:val="24"/>
          <w:highlight w:val="none"/>
        </w:rPr>
        <w:t>一、培养目标</w:t>
      </w:r>
    </w:p>
    <w:p>
      <w:pPr>
        <w:spacing w:line="420" w:lineRule="exact"/>
        <w:ind w:firstLine="480" w:firstLineChars="200"/>
        <w:rPr>
          <w:color w:val="auto"/>
          <w:sz w:val="24"/>
          <w:highlight w:val="none"/>
        </w:rPr>
      </w:pPr>
      <w:r>
        <w:rPr>
          <w:rFonts w:hint="eastAsia"/>
          <w:color w:val="auto"/>
          <w:sz w:val="24"/>
          <w:highlight w:val="none"/>
        </w:rPr>
        <w:t>研究生的培养要面向社会需求和科技前沿，贯彻德、智、体、美、劳全面发展的方针，特别要注重综合素质和创新能力的培养。具体培养要求如下：</w:t>
      </w:r>
    </w:p>
    <w:p>
      <w:pPr>
        <w:spacing w:line="420" w:lineRule="exact"/>
        <w:rPr>
          <w:color w:val="auto"/>
          <w:sz w:val="24"/>
          <w:highlight w:val="none"/>
        </w:rPr>
      </w:pPr>
      <w:r>
        <w:rPr>
          <w:rFonts w:hint="eastAsia"/>
          <w:color w:val="auto"/>
          <w:sz w:val="24"/>
          <w:highlight w:val="none"/>
        </w:rPr>
        <w:t>1.应较好地掌握马克思主义、毛泽东思想和邓小平理论；拥护党的基本路线和方针、政策；热爱祖国，遵纪守法，具有良好的科研道德和为科学献身的精神，积极为我国经济建设和社会发展服务。</w:t>
      </w:r>
    </w:p>
    <w:p>
      <w:pPr>
        <w:spacing w:line="420" w:lineRule="exact"/>
        <w:rPr>
          <w:color w:val="auto"/>
          <w:sz w:val="24"/>
          <w:highlight w:val="none"/>
        </w:rPr>
      </w:pPr>
      <w:r>
        <w:rPr>
          <w:rFonts w:hint="eastAsia"/>
          <w:color w:val="auto"/>
          <w:sz w:val="24"/>
          <w:highlight w:val="none"/>
        </w:rPr>
        <w:t>2.应具有坚实的必要的材料科学与工程理论基础和系统宽泛的专业知识；掌握解决本领域研究问题的先进技术方法和现代技术手段；了解本领域的发展动向，具有独立担负专门研究或技术工作和较强的自我提高的能力。</w:t>
      </w:r>
    </w:p>
    <w:p>
      <w:pPr>
        <w:spacing w:line="420" w:lineRule="exact"/>
        <w:rPr>
          <w:color w:val="auto"/>
          <w:sz w:val="24"/>
          <w:highlight w:val="none"/>
        </w:rPr>
      </w:pPr>
      <w:r>
        <w:rPr>
          <w:rFonts w:hint="eastAsia"/>
          <w:color w:val="auto"/>
          <w:sz w:val="24"/>
          <w:highlight w:val="none"/>
        </w:rPr>
        <w:t>3.基本掌握一门外语，能够熟练地阅读专业领域的外文资料。</w:t>
      </w:r>
    </w:p>
    <w:p>
      <w:pPr>
        <w:numPr>
          <w:ilvl w:val="0"/>
          <w:numId w:val="1"/>
        </w:numPr>
        <w:spacing w:line="420" w:lineRule="exact"/>
        <w:rPr>
          <w:color w:val="auto"/>
          <w:sz w:val="24"/>
          <w:highlight w:val="none"/>
        </w:rPr>
      </w:pPr>
      <w:r>
        <w:rPr>
          <w:rFonts w:hint="eastAsia"/>
          <w:color w:val="auto"/>
          <w:sz w:val="24"/>
          <w:highlight w:val="none"/>
        </w:rPr>
        <w:t>具有健康的体魄、良好的心理素质和健全的人格，具有良好的生活习惯和健康的生活方式。</w:t>
      </w:r>
    </w:p>
    <w:p>
      <w:pPr>
        <w:spacing w:line="420" w:lineRule="exact"/>
        <w:rPr>
          <w:color w:val="auto"/>
          <w:sz w:val="24"/>
          <w:highlight w:val="none"/>
        </w:rPr>
      </w:pPr>
    </w:p>
    <w:p>
      <w:pPr>
        <w:numPr>
          <w:ilvl w:val="0"/>
          <w:numId w:val="2"/>
        </w:numPr>
        <w:spacing w:line="420" w:lineRule="exact"/>
        <w:rPr>
          <w:b/>
          <w:bCs/>
          <w:color w:val="auto"/>
          <w:sz w:val="24"/>
          <w:highlight w:val="none"/>
        </w:rPr>
      </w:pPr>
      <w:r>
        <w:rPr>
          <w:rFonts w:hint="eastAsia"/>
          <w:b/>
          <w:bCs/>
          <w:color w:val="auto"/>
          <w:sz w:val="24"/>
          <w:highlight w:val="none"/>
        </w:rPr>
        <w:t>学科研究方向</w:t>
      </w:r>
    </w:p>
    <w:p>
      <w:pPr>
        <w:spacing w:line="420" w:lineRule="exact"/>
        <w:rPr>
          <w:rFonts w:ascii="Times New Roman"/>
          <w:color w:val="auto"/>
          <w:sz w:val="24"/>
          <w:highlight w:val="none"/>
        </w:rPr>
      </w:pPr>
      <w:r>
        <w:rPr>
          <w:rFonts w:ascii="Times New Roman" w:hAnsi="Times New Roman" w:cs="Times New Roman"/>
          <w:b/>
          <w:bCs/>
          <w:color w:val="auto"/>
          <w:sz w:val="24"/>
          <w:highlight w:val="none"/>
        </w:rPr>
        <w:t>光电功能材料</w:t>
      </w:r>
      <w:r>
        <w:rPr>
          <w:rFonts w:hint="eastAsia" w:ascii="Times New Roman" w:hAnsi="Times New Roman" w:cs="Times New Roman"/>
          <w:b/>
          <w:bCs/>
          <w:color w:val="auto"/>
          <w:sz w:val="24"/>
          <w:highlight w:val="none"/>
        </w:rPr>
        <w:t>方向：</w:t>
      </w:r>
      <w:r>
        <w:rPr>
          <w:rFonts w:hint="eastAsia" w:ascii="Times New Roman"/>
          <w:color w:val="auto"/>
          <w:sz w:val="24"/>
          <w:highlight w:val="none"/>
        </w:rPr>
        <w:t>面向世界科技前沿和全固态激光技术的应用发展需求，开展新型光电功能晶体材料的设计模拟、晶体生长、性能测试及应用评估等应用基础研究。</w:t>
      </w:r>
    </w:p>
    <w:p>
      <w:pPr>
        <w:spacing w:line="420" w:lineRule="exact"/>
        <w:rPr>
          <w:rFonts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敏感材料与器件方向：</w:t>
      </w:r>
      <w:r>
        <w:rPr>
          <w:rFonts w:hint="eastAsia" w:ascii="Times New Roman" w:hAnsi="Times New Roman" w:cs="Times New Roman"/>
          <w:color w:val="auto"/>
          <w:sz w:val="24"/>
          <w:highlight w:val="none"/>
        </w:rPr>
        <w:t>针对航天、海洋、航空及汽车工业关键部件对高温真空、高温测控、低温、压力等的应用需求，开展极端环境多晶热敏材料离子导电机制研究及元器件关键技术攻关。</w:t>
      </w:r>
    </w:p>
    <w:p>
      <w:pPr>
        <w:spacing w:line="420" w:lineRule="exact"/>
        <w:rPr>
          <w:rFonts w:ascii="Times New Roman"/>
          <w:color w:val="auto"/>
          <w:sz w:val="24"/>
          <w:highlight w:val="none"/>
        </w:rPr>
      </w:pPr>
      <w:r>
        <w:rPr>
          <w:rFonts w:hint="eastAsia" w:ascii="Times New Roman" w:hAnsi="Times New Roman" w:cs="Times New Roman"/>
          <w:b/>
          <w:bCs/>
          <w:color w:val="auto"/>
          <w:sz w:val="24"/>
          <w:highlight w:val="none"/>
        </w:rPr>
        <w:t>爆炸物检测识别方向</w:t>
      </w:r>
      <w:r>
        <w:rPr>
          <w:rFonts w:hint="eastAsia" w:ascii="宋体" w:hAnsi="宋体" w:cs="Times New Roman"/>
          <w:b/>
          <w:bCs/>
          <w:color w:val="auto"/>
          <w:kern w:val="0"/>
          <w:sz w:val="24"/>
          <w:highlight w:val="none"/>
        </w:rPr>
        <w:t>：</w:t>
      </w:r>
      <w:r>
        <w:rPr>
          <w:rFonts w:hint="eastAsia" w:ascii="Times New Roman"/>
          <w:color w:val="auto"/>
          <w:sz w:val="24"/>
          <w:highlight w:val="none"/>
        </w:rPr>
        <w:t>面向世界公共安全领域痕量危险化学品检测的实际需求，开展痕量危险化学品传感原理探究、材料设计、阵列制备及装备研制等应用基础研究。</w:t>
      </w:r>
    </w:p>
    <w:p>
      <w:pPr>
        <w:spacing w:line="420" w:lineRule="exact"/>
        <w:rPr>
          <w:rFonts w:ascii="Times New Roman"/>
          <w:color w:val="auto"/>
          <w:sz w:val="24"/>
          <w:highlight w:val="none"/>
        </w:rPr>
      </w:pPr>
      <w:r>
        <w:rPr>
          <w:rFonts w:hint="eastAsia" w:ascii="Times New Roman"/>
          <w:b/>
          <w:bCs/>
          <w:color w:val="auto"/>
          <w:sz w:val="24"/>
          <w:highlight w:val="none"/>
        </w:rPr>
        <w:t>分离材料与技术方向：</w:t>
      </w:r>
      <w:r>
        <w:rPr>
          <w:rFonts w:hint="eastAsia" w:ascii="Times New Roman"/>
          <w:color w:val="auto"/>
          <w:sz w:val="24"/>
          <w:highlight w:val="none"/>
        </w:rPr>
        <w:t>面向区域经济发展以及空间、环境、能源等领域对高性能分离材料的迫切需求，强化分离材料与技术的学科建设，开展纤维表面功能化、液-液分离材料的制备、污染控制过程中分离物与分离材料的界面作用机制等核心基础原理和关键技术的研究。</w:t>
      </w:r>
    </w:p>
    <w:p>
      <w:pPr>
        <w:spacing w:line="420" w:lineRule="exact"/>
        <w:rPr>
          <w:rFonts w:ascii="Times New Roman" w:hAnsi="Times New Roman" w:cs="Times New Roman"/>
          <w:color w:val="auto"/>
          <w:szCs w:val="21"/>
          <w:highlight w:val="none"/>
        </w:rPr>
      </w:pPr>
    </w:p>
    <w:p>
      <w:pPr>
        <w:spacing w:line="420" w:lineRule="exact"/>
        <w:rPr>
          <w:rFonts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三、培养方式及学习年限</w:t>
      </w:r>
    </w:p>
    <w:p>
      <w:pPr>
        <w:spacing w:line="420" w:lineRule="exact"/>
        <w:ind w:firstLine="480" w:firstLineChars="200"/>
        <w:rPr>
          <w:color w:val="auto"/>
          <w:sz w:val="24"/>
          <w:highlight w:val="none"/>
        </w:rPr>
      </w:pPr>
      <w:r>
        <w:rPr>
          <w:rFonts w:hint="eastAsia"/>
          <w:color w:val="auto"/>
          <w:sz w:val="24"/>
          <w:highlight w:val="none"/>
        </w:rPr>
        <w:t>硕士研究生培养过程实行学分制管理。研究生获得学位所需学分，由课程学习学分和必修环节学分两部分组成。</w:t>
      </w:r>
    </w:p>
    <w:p>
      <w:pPr>
        <w:spacing w:line="420" w:lineRule="exact"/>
        <w:ind w:firstLine="480" w:firstLineChars="200"/>
        <w:rPr>
          <w:color w:val="auto"/>
          <w:sz w:val="24"/>
          <w:highlight w:val="none"/>
        </w:rPr>
      </w:pPr>
      <w:r>
        <w:rPr>
          <w:rFonts w:hint="eastAsia"/>
          <w:color w:val="auto"/>
          <w:sz w:val="24"/>
          <w:highlight w:val="none"/>
        </w:rPr>
        <w:t>硕士学位研究生培养实行导师或导师小组负责制。导师作为第一责任人，要坚持“立德树人”为教育的根本任务，加强研究生思想政治工作。导师组可根据学生的论文研究方向，采取团队培养、个别指导、师生讨论等多种形式指导研究生。</w:t>
      </w:r>
    </w:p>
    <w:p>
      <w:pPr>
        <w:spacing w:line="420" w:lineRule="exact"/>
        <w:ind w:firstLine="480" w:firstLineChars="200"/>
        <w:rPr>
          <w:color w:val="auto"/>
          <w:sz w:val="24"/>
          <w:highlight w:val="none"/>
        </w:rPr>
      </w:pPr>
      <w:r>
        <w:rPr>
          <w:rFonts w:hint="eastAsia"/>
          <w:color w:val="auto"/>
          <w:sz w:val="24"/>
          <w:highlight w:val="none"/>
        </w:rPr>
        <w:t>根据本培养方案的要求，导师或导师小组负责拟订培养计划，并在严谨治学、学术道德、团结协作、学位论文质量等方面进行严格要求。导师或导师小组应全面落实导师责任制，除负责指导研究生科研工作外，还应对研究生进行思想政治教育、科研安全教育、心理健康教育和职业规划进行指导，并配合、协助研究生教育管理部门做好研究生的各项管理工作。</w:t>
      </w:r>
    </w:p>
    <w:p>
      <w:pPr>
        <w:spacing w:line="420" w:lineRule="exact"/>
        <w:rPr>
          <w:color w:val="auto"/>
          <w:sz w:val="24"/>
          <w:highlight w:val="none"/>
        </w:rPr>
      </w:pPr>
      <w:r>
        <w:rPr>
          <w:rFonts w:hint="eastAsia"/>
          <w:color w:val="auto"/>
          <w:sz w:val="24"/>
          <w:highlight w:val="none"/>
        </w:rPr>
        <w:t>硕士研究生的学习实行弹性学制。硕士生基本学制一般为 3 年，最长修读年限（含休学）</w:t>
      </w:r>
    </w:p>
    <w:p>
      <w:pPr>
        <w:spacing w:line="420" w:lineRule="exact"/>
        <w:ind w:firstLine="480" w:firstLineChars="200"/>
        <w:rPr>
          <w:color w:val="auto"/>
          <w:sz w:val="24"/>
          <w:highlight w:val="none"/>
        </w:rPr>
      </w:pPr>
      <w:r>
        <w:rPr>
          <w:rFonts w:hint="eastAsia"/>
          <w:color w:val="auto"/>
          <w:sz w:val="24"/>
          <w:highlight w:val="none"/>
        </w:rPr>
        <w:t>不得超过 4 年。</w:t>
      </w:r>
    </w:p>
    <w:p>
      <w:pPr>
        <w:spacing w:line="420" w:lineRule="exact"/>
        <w:ind w:firstLine="480" w:firstLineChars="200"/>
        <w:rPr>
          <w:color w:val="auto"/>
          <w:sz w:val="24"/>
          <w:highlight w:val="none"/>
        </w:rPr>
      </w:pPr>
    </w:p>
    <w:p>
      <w:pPr>
        <w:spacing w:line="420" w:lineRule="exact"/>
        <w:rPr>
          <w:b/>
          <w:bCs/>
          <w:color w:val="auto"/>
          <w:sz w:val="24"/>
          <w:highlight w:val="none"/>
        </w:rPr>
      </w:pPr>
      <w:r>
        <w:rPr>
          <w:rFonts w:hint="eastAsia"/>
          <w:b/>
          <w:bCs/>
          <w:color w:val="auto"/>
          <w:sz w:val="24"/>
          <w:highlight w:val="none"/>
        </w:rPr>
        <w:t>四、课程体系与学分要求</w:t>
      </w:r>
    </w:p>
    <w:p>
      <w:pPr>
        <w:spacing w:line="420" w:lineRule="exact"/>
        <w:ind w:firstLine="480" w:firstLineChars="200"/>
        <w:rPr>
          <w:color w:val="auto"/>
          <w:sz w:val="24"/>
          <w:highlight w:val="none"/>
        </w:rPr>
      </w:pPr>
      <w:r>
        <w:rPr>
          <w:rFonts w:hint="eastAsia"/>
          <w:color w:val="auto"/>
          <w:sz w:val="24"/>
          <w:highlight w:val="none"/>
        </w:rPr>
        <w:t>本学科硕士研究生课程体系包括学位课和非学位课，学位课是为达到培养目标要求，保证研究生培养质量而必须学习的课程，分为公共学位课和专业学位课两类。其中，公共学位课包括政治理论课程、学术道德与学术写作规范课程、人文系列讲座课程和外国语课程；专业学位课包括学科基础课、专业基础课和专业课。非学位课是为拓宽研究生知识面、完善知识结构或加深某方面知识、提升科学和人文素养而开设的课程，包括公共选修课和专业选修课（从核心课、普及课、研讨课、科学前沿讲座中选修）。</w:t>
      </w:r>
    </w:p>
    <w:p>
      <w:pPr>
        <w:spacing w:line="420" w:lineRule="exact"/>
        <w:ind w:firstLine="480" w:firstLineChars="200"/>
        <w:rPr>
          <w:color w:val="auto"/>
          <w:sz w:val="24"/>
          <w:highlight w:val="none"/>
        </w:rPr>
      </w:pPr>
      <w:r>
        <w:rPr>
          <w:rFonts w:hint="eastAsia"/>
          <w:color w:val="auto"/>
          <w:sz w:val="24"/>
          <w:highlight w:val="none"/>
        </w:rPr>
        <w:t>硕士研究生申请硕士学位前，须完成不少于 30 学分的课程学习，其中学位课学分不低于 19 学分，即：公共学位课 7  学分，包括政治理论课程、学术道德与学术写作规范课程和外国语课程；专业学位课不低于 12 学分。</w:t>
      </w:r>
    </w:p>
    <w:p>
      <w:pPr>
        <w:spacing w:line="420" w:lineRule="exact"/>
        <w:rPr>
          <w:b/>
          <w:bCs/>
          <w:color w:val="auto"/>
          <w:sz w:val="24"/>
          <w:highlight w:val="none"/>
        </w:rPr>
      </w:pPr>
    </w:p>
    <w:p>
      <w:pPr>
        <w:spacing w:line="420" w:lineRule="exact"/>
        <w:rPr>
          <w:b/>
          <w:bCs/>
          <w:color w:val="auto"/>
          <w:sz w:val="24"/>
          <w:highlight w:val="none"/>
        </w:rPr>
      </w:pPr>
      <w:r>
        <w:rPr>
          <w:rFonts w:hint="eastAsia"/>
          <w:b/>
          <w:bCs/>
          <w:color w:val="auto"/>
          <w:sz w:val="24"/>
          <w:highlight w:val="none"/>
        </w:rPr>
        <w:t>课程设置：</w:t>
      </w:r>
      <w:r>
        <w:rPr>
          <w:rFonts w:hint="eastAsia"/>
          <w:color w:val="auto"/>
          <w:sz w:val="24"/>
          <w:highlight w:val="none"/>
        </w:rPr>
        <w:t xml:space="preserve"> </w:t>
      </w:r>
    </w:p>
    <w:p>
      <w:pPr>
        <w:spacing w:line="420" w:lineRule="exact"/>
        <w:rPr>
          <w:b/>
          <w:bCs/>
          <w:color w:val="auto"/>
          <w:sz w:val="24"/>
          <w:highlight w:val="none"/>
        </w:rPr>
      </w:pPr>
      <w:r>
        <w:rPr>
          <w:rFonts w:hint="eastAsia"/>
          <w:b/>
          <w:bCs/>
          <w:color w:val="auto"/>
          <w:sz w:val="24"/>
          <w:highlight w:val="none"/>
        </w:rPr>
        <w:t>1.学科基础课（核心课）</w:t>
      </w:r>
    </w:p>
    <w:p>
      <w:pPr>
        <w:spacing w:line="420" w:lineRule="exact"/>
        <w:rPr>
          <w:color w:val="auto"/>
          <w:sz w:val="24"/>
          <w:highlight w:val="none"/>
        </w:rPr>
      </w:pPr>
      <w:r>
        <w:rPr>
          <w:rFonts w:hint="eastAsia"/>
          <w:color w:val="auto"/>
          <w:sz w:val="24"/>
          <w:highlight w:val="none"/>
        </w:rPr>
        <w:t>材料化学</w:t>
      </w:r>
      <w:r>
        <w:rPr>
          <w:rFonts w:hint="eastAsia"/>
          <w:color w:val="auto"/>
          <w:sz w:val="24"/>
          <w:highlight w:val="none"/>
        </w:rPr>
        <w:tab/>
      </w:r>
      <w:r>
        <w:rPr>
          <w:rFonts w:hint="eastAsia"/>
          <w:color w:val="auto"/>
          <w:sz w:val="24"/>
          <w:highlight w:val="none"/>
        </w:rPr>
        <w:t>量子力学和统计物理</w:t>
      </w:r>
    </w:p>
    <w:p>
      <w:pPr>
        <w:spacing w:line="420" w:lineRule="exact"/>
        <w:rPr>
          <w:color w:val="auto"/>
          <w:sz w:val="24"/>
          <w:highlight w:val="none"/>
        </w:rPr>
      </w:pPr>
      <w:r>
        <w:rPr>
          <w:rFonts w:hint="eastAsia"/>
          <w:color w:val="auto"/>
          <w:sz w:val="24"/>
          <w:highlight w:val="none"/>
        </w:rPr>
        <w:t>材料结构分析方法</w:t>
      </w:r>
      <w:r>
        <w:rPr>
          <w:rFonts w:hint="eastAsia"/>
          <w:color w:val="auto"/>
          <w:sz w:val="24"/>
          <w:highlight w:val="none"/>
        </w:rPr>
        <w:tab/>
      </w:r>
      <w:r>
        <w:rPr>
          <w:rFonts w:hint="eastAsia"/>
          <w:color w:val="auto"/>
          <w:sz w:val="24"/>
          <w:highlight w:val="none"/>
        </w:rPr>
        <w:t>晶体学中的对称群</w:t>
      </w:r>
    </w:p>
    <w:p>
      <w:pPr>
        <w:spacing w:line="420" w:lineRule="exact"/>
        <w:rPr>
          <w:color w:val="auto"/>
          <w:sz w:val="24"/>
          <w:highlight w:val="none"/>
        </w:rPr>
      </w:pPr>
      <w:r>
        <w:rPr>
          <w:rFonts w:hint="eastAsia"/>
          <w:color w:val="auto"/>
          <w:sz w:val="24"/>
          <w:highlight w:val="none"/>
        </w:rPr>
        <w:t>材料谱学分析方法</w:t>
      </w:r>
      <w:r>
        <w:rPr>
          <w:rFonts w:hint="eastAsia"/>
          <w:color w:val="auto"/>
          <w:sz w:val="24"/>
          <w:highlight w:val="none"/>
        </w:rPr>
        <w:tab/>
      </w:r>
      <w:r>
        <w:rPr>
          <w:rFonts w:hint="eastAsia"/>
          <w:color w:val="auto"/>
          <w:sz w:val="24"/>
          <w:highlight w:val="none"/>
        </w:rPr>
        <w:t xml:space="preserve"> 相图和相结构高等量子力学</w:t>
      </w:r>
    </w:p>
    <w:p>
      <w:pPr>
        <w:spacing w:line="420" w:lineRule="exact"/>
        <w:rPr>
          <w:color w:val="auto"/>
          <w:sz w:val="24"/>
          <w:highlight w:val="none"/>
        </w:rPr>
      </w:pPr>
      <w:r>
        <w:rPr>
          <w:rFonts w:hint="eastAsia"/>
          <w:color w:val="auto"/>
          <w:sz w:val="24"/>
          <w:highlight w:val="none"/>
        </w:rPr>
        <w:t>材料热力学和动力学数值分析</w:t>
      </w:r>
      <w:r>
        <w:rPr>
          <w:rFonts w:hint="eastAsia"/>
          <w:color w:val="auto"/>
          <w:sz w:val="24"/>
          <w:highlight w:val="none"/>
        </w:rPr>
        <w:tab/>
      </w:r>
      <w:r>
        <w:rPr>
          <w:rFonts w:hint="eastAsia"/>
          <w:color w:val="auto"/>
          <w:sz w:val="24"/>
          <w:highlight w:val="none"/>
        </w:rPr>
        <w:t xml:space="preserve"> </w:t>
      </w:r>
      <w:r>
        <w:rPr>
          <w:rFonts w:hint="eastAsia"/>
          <w:color w:val="auto"/>
          <w:sz w:val="24"/>
          <w:highlight w:val="none"/>
        </w:rPr>
        <w:t>固体物理基础</w:t>
      </w:r>
    </w:p>
    <w:p>
      <w:pPr>
        <w:spacing w:line="420" w:lineRule="exact"/>
        <w:rPr>
          <w:color w:val="auto"/>
          <w:sz w:val="24"/>
          <w:highlight w:val="none"/>
        </w:rPr>
      </w:pPr>
      <w:r>
        <w:rPr>
          <w:rFonts w:hint="eastAsia"/>
          <w:color w:val="auto"/>
          <w:sz w:val="24"/>
          <w:highlight w:val="none"/>
        </w:rPr>
        <w:t>材料物理中的常用数学方法</w:t>
      </w:r>
      <w:r>
        <w:rPr>
          <w:rFonts w:hint="eastAsia"/>
          <w:color w:val="auto"/>
          <w:sz w:val="24"/>
          <w:highlight w:val="none"/>
        </w:rPr>
        <w:tab/>
      </w:r>
      <w:r>
        <w:rPr>
          <w:rFonts w:hint="eastAsia"/>
          <w:color w:val="auto"/>
          <w:sz w:val="24"/>
          <w:highlight w:val="none"/>
        </w:rPr>
        <w:t xml:space="preserve"> 固体力学导论高等固体物理</w:t>
      </w:r>
      <w:r>
        <w:rPr>
          <w:rFonts w:hint="eastAsia"/>
          <w:color w:val="auto"/>
          <w:sz w:val="24"/>
          <w:highlight w:val="none"/>
        </w:rPr>
        <w:tab/>
      </w:r>
    </w:p>
    <w:p>
      <w:pPr>
        <w:spacing w:line="420" w:lineRule="exact"/>
        <w:rPr>
          <w:color w:val="auto"/>
          <w:sz w:val="24"/>
          <w:highlight w:val="none"/>
        </w:rPr>
      </w:pPr>
      <w:r>
        <w:rPr>
          <w:rFonts w:hint="eastAsia"/>
          <w:color w:val="auto"/>
          <w:sz w:val="24"/>
          <w:highlight w:val="none"/>
        </w:rPr>
        <w:t>量子结构材料高分子物理</w:t>
      </w:r>
    </w:p>
    <w:p>
      <w:pPr>
        <w:spacing w:line="420" w:lineRule="exact"/>
        <w:rPr>
          <w:b/>
          <w:bCs/>
          <w:color w:val="auto"/>
          <w:sz w:val="24"/>
          <w:highlight w:val="none"/>
        </w:rPr>
      </w:pPr>
      <w:r>
        <w:rPr>
          <w:rFonts w:hint="eastAsia"/>
          <w:b/>
          <w:bCs/>
          <w:color w:val="auto"/>
          <w:sz w:val="24"/>
          <w:highlight w:val="none"/>
        </w:rPr>
        <w:t>2.专业基础课（普及课）高等半导体物理</w:t>
      </w:r>
      <w:r>
        <w:rPr>
          <w:rFonts w:hint="eastAsia"/>
          <w:b/>
          <w:bCs/>
          <w:color w:val="auto"/>
          <w:sz w:val="24"/>
          <w:highlight w:val="none"/>
        </w:rPr>
        <w:tab/>
      </w:r>
      <w:r>
        <w:rPr>
          <w:rFonts w:hint="eastAsia"/>
          <w:b/>
          <w:bCs/>
          <w:color w:val="auto"/>
          <w:sz w:val="24"/>
          <w:highlight w:val="none"/>
        </w:rPr>
        <w:t>薄膜物理</w:t>
      </w:r>
    </w:p>
    <w:p>
      <w:pPr>
        <w:spacing w:line="420" w:lineRule="exact"/>
        <w:rPr>
          <w:color w:val="auto"/>
          <w:sz w:val="24"/>
          <w:highlight w:val="none"/>
        </w:rPr>
      </w:pPr>
      <w:r>
        <w:rPr>
          <w:rFonts w:hint="eastAsia"/>
          <w:color w:val="auto"/>
          <w:sz w:val="24"/>
          <w:highlight w:val="none"/>
        </w:rPr>
        <w:t>结构晶体学</w:t>
      </w:r>
      <w:r>
        <w:rPr>
          <w:rFonts w:hint="eastAsia"/>
          <w:color w:val="auto"/>
          <w:sz w:val="24"/>
          <w:highlight w:val="none"/>
        </w:rPr>
        <w:tab/>
      </w:r>
      <w:r>
        <w:rPr>
          <w:rFonts w:hint="eastAsia"/>
          <w:color w:val="auto"/>
          <w:sz w:val="24"/>
          <w:highlight w:val="none"/>
        </w:rPr>
        <w:t xml:space="preserve"> </w:t>
      </w:r>
    </w:p>
    <w:p>
      <w:pPr>
        <w:spacing w:line="420" w:lineRule="exact"/>
        <w:rPr>
          <w:color w:val="auto"/>
          <w:sz w:val="24"/>
          <w:highlight w:val="none"/>
        </w:rPr>
      </w:pPr>
      <w:r>
        <w:rPr>
          <w:rFonts w:hint="eastAsia"/>
          <w:color w:val="auto"/>
          <w:sz w:val="24"/>
          <w:highlight w:val="none"/>
        </w:rPr>
        <w:t>半导体器件物理固体材料</w:t>
      </w:r>
      <w:r>
        <w:rPr>
          <w:rFonts w:hint="eastAsia"/>
          <w:color w:val="auto"/>
          <w:sz w:val="24"/>
          <w:highlight w:val="none"/>
        </w:rPr>
        <w:tab/>
      </w:r>
    </w:p>
    <w:p>
      <w:pPr>
        <w:spacing w:line="420" w:lineRule="exact"/>
        <w:rPr>
          <w:color w:val="auto"/>
          <w:sz w:val="24"/>
          <w:highlight w:val="none"/>
        </w:rPr>
      </w:pPr>
      <w:r>
        <w:rPr>
          <w:rFonts w:hint="eastAsia"/>
          <w:color w:val="auto"/>
          <w:sz w:val="24"/>
          <w:highlight w:val="none"/>
        </w:rPr>
        <w:t>聚合物基复合材料</w:t>
      </w:r>
    </w:p>
    <w:p>
      <w:pPr>
        <w:spacing w:line="420" w:lineRule="exact"/>
        <w:rPr>
          <w:color w:val="auto"/>
          <w:sz w:val="24"/>
          <w:highlight w:val="none"/>
        </w:rPr>
      </w:pPr>
      <w:r>
        <w:rPr>
          <w:rFonts w:hint="eastAsia"/>
          <w:color w:val="auto"/>
          <w:sz w:val="24"/>
          <w:highlight w:val="none"/>
        </w:rPr>
        <w:t>材料的扩散与相变</w:t>
      </w:r>
      <w:r>
        <w:rPr>
          <w:rFonts w:hint="eastAsia"/>
          <w:color w:val="auto"/>
          <w:sz w:val="24"/>
          <w:highlight w:val="none"/>
        </w:rPr>
        <w:tab/>
      </w:r>
    </w:p>
    <w:p>
      <w:pPr>
        <w:spacing w:line="420" w:lineRule="exact"/>
        <w:rPr>
          <w:color w:val="auto"/>
          <w:sz w:val="24"/>
          <w:highlight w:val="none"/>
        </w:rPr>
      </w:pPr>
      <w:r>
        <w:rPr>
          <w:rFonts w:hint="eastAsia"/>
          <w:color w:val="auto"/>
          <w:sz w:val="24"/>
          <w:highlight w:val="none"/>
        </w:rPr>
        <w:t>先进功能高分子材料</w:t>
      </w:r>
    </w:p>
    <w:p>
      <w:pPr>
        <w:spacing w:line="420" w:lineRule="exact"/>
        <w:rPr>
          <w:color w:val="auto"/>
          <w:sz w:val="24"/>
          <w:highlight w:val="none"/>
        </w:rPr>
      </w:pPr>
      <w:r>
        <w:rPr>
          <w:rFonts w:hint="eastAsia"/>
          <w:color w:val="auto"/>
          <w:sz w:val="24"/>
          <w:highlight w:val="none"/>
        </w:rPr>
        <w:t>X 射线晶体学</w:t>
      </w:r>
      <w:r>
        <w:rPr>
          <w:rFonts w:hint="eastAsia"/>
          <w:color w:val="auto"/>
          <w:sz w:val="24"/>
          <w:highlight w:val="none"/>
        </w:rPr>
        <w:tab/>
      </w:r>
      <w:r>
        <w:rPr>
          <w:rFonts w:hint="eastAsia"/>
          <w:color w:val="auto"/>
          <w:sz w:val="24"/>
          <w:highlight w:val="none"/>
        </w:rPr>
        <w:t xml:space="preserve"> </w:t>
      </w:r>
    </w:p>
    <w:p>
      <w:pPr>
        <w:spacing w:line="420" w:lineRule="exact"/>
        <w:rPr>
          <w:color w:val="auto"/>
          <w:sz w:val="24"/>
          <w:highlight w:val="none"/>
        </w:rPr>
      </w:pPr>
      <w:r>
        <w:rPr>
          <w:rFonts w:hint="eastAsia"/>
          <w:color w:val="auto"/>
          <w:sz w:val="24"/>
          <w:highlight w:val="none"/>
        </w:rPr>
        <w:t>胶体与界面化学计算材料物理</w:t>
      </w:r>
      <w:r>
        <w:rPr>
          <w:rFonts w:hint="eastAsia"/>
          <w:color w:val="auto"/>
          <w:sz w:val="24"/>
          <w:highlight w:val="none"/>
        </w:rPr>
        <w:tab/>
      </w:r>
      <w:r>
        <w:rPr>
          <w:rFonts w:hint="eastAsia"/>
          <w:color w:val="auto"/>
          <w:sz w:val="24"/>
          <w:highlight w:val="none"/>
        </w:rPr>
        <w:t xml:space="preserve"> </w:t>
      </w:r>
    </w:p>
    <w:p>
      <w:pPr>
        <w:spacing w:line="420" w:lineRule="exact"/>
        <w:rPr>
          <w:color w:val="auto"/>
          <w:sz w:val="24"/>
          <w:highlight w:val="none"/>
        </w:rPr>
      </w:pPr>
      <w:r>
        <w:rPr>
          <w:rFonts w:hint="eastAsia"/>
          <w:color w:val="auto"/>
          <w:sz w:val="24"/>
          <w:highlight w:val="none"/>
        </w:rPr>
        <w:t>现代无机合成</w:t>
      </w:r>
    </w:p>
    <w:p>
      <w:pPr>
        <w:spacing w:line="420" w:lineRule="exact"/>
        <w:rPr>
          <w:color w:val="auto"/>
          <w:sz w:val="24"/>
          <w:highlight w:val="none"/>
        </w:rPr>
      </w:pPr>
      <w:r>
        <w:rPr>
          <w:rFonts w:hint="eastAsia"/>
          <w:color w:val="auto"/>
          <w:sz w:val="24"/>
          <w:highlight w:val="none"/>
        </w:rPr>
        <w:t>分子材料与分子器件</w:t>
      </w:r>
      <w:r>
        <w:rPr>
          <w:rFonts w:hint="eastAsia"/>
          <w:color w:val="auto"/>
          <w:sz w:val="24"/>
          <w:highlight w:val="none"/>
        </w:rPr>
        <w:tab/>
      </w:r>
    </w:p>
    <w:p>
      <w:pPr>
        <w:spacing w:line="420" w:lineRule="exact"/>
        <w:rPr>
          <w:color w:val="auto"/>
          <w:sz w:val="24"/>
          <w:highlight w:val="none"/>
        </w:rPr>
      </w:pPr>
      <w:r>
        <w:rPr>
          <w:rFonts w:hint="eastAsia"/>
          <w:color w:val="auto"/>
          <w:sz w:val="24"/>
          <w:highlight w:val="none"/>
        </w:rPr>
        <w:t>聚合物分析方法</w:t>
      </w:r>
    </w:p>
    <w:p>
      <w:pPr>
        <w:spacing w:line="420" w:lineRule="exact"/>
        <w:rPr>
          <w:color w:val="auto"/>
          <w:sz w:val="24"/>
          <w:highlight w:val="none"/>
        </w:rPr>
      </w:pPr>
      <w:r>
        <w:rPr>
          <w:rFonts w:hint="eastAsia"/>
          <w:color w:val="auto"/>
          <w:sz w:val="24"/>
          <w:highlight w:val="none"/>
        </w:rPr>
        <w:t>材料的表面与界面</w:t>
      </w:r>
      <w:r>
        <w:rPr>
          <w:rFonts w:hint="eastAsia"/>
          <w:color w:val="auto"/>
          <w:sz w:val="24"/>
          <w:highlight w:val="none"/>
        </w:rPr>
        <w:tab/>
      </w:r>
    </w:p>
    <w:p>
      <w:pPr>
        <w:spacing w:line="420" w:lineRule="exact"/>
        <w:rPr>
          <w:color w:val="auto"/>
          <w:sz w:val="24"/>
          <w:highlight w:val="none"/>
        </w:rPr>
      </w:pPr>
      <w:r>
        <w:rPr>
          <w:rFonts w:hint="eastAsia"/>
          <w:color w:val="auto"/>
          <w:sz w:val="24"/>
          <w:highlight w:val="none"/>
        </w:rPr>
        <w:t>复合材料及其力学导论材料气相沉积制备技术</w:t>
      </w:r>
      <w:r>
        <w:rPr>
          <w:rFonts w:hint="eastAsia"/>
          <w:color w:val="auto"/>
          <w:sz w:val="24"/>
          <w:highlight w:val="none"/>
        </w:rPr>
        <w:tab/>
      </w:r>
    </w:p>
    <w:p>
      <w:pPr>
        <w:spacing w:line="420" w:lineRule="exact"/>
        <w:rPr>
          <w:color w:val="auto"/>
          <w:sz w:val="24"/>
          <w:highlight w:val="none"/>
        </w:rPr>
      </w:pPr>
      <w:r>
        <w:rPr>
          <w:rFonts w:hint="eastAsia"/>
          <w:color w:val="auto"/>
          <w:sz w:val="24"/>
          <w:highlight w:val="none"/>
        </w:rPr>
        <w:t>非晶态物理</w:t>
      </w:r>
      <w:r>
        <w:rPr>
          <w:rFonts w:hint="eastAsia"/>
          <w:color w:val="auto"/>
          <w:sz w:val="24"/>
          <w:highlight w:val="none"/>
        </w:rPr>
        <w:tab/>
      </w:r>
      <w:r>
        <w:rPr>
          <w:rFonts w:hint="eastAsia"/>
          <w:color w:val="auto"/>
          <w:sz w:val="24"/>
          <w:highlight w:val="none"/>
        </w:rPr>
        <w:t>聚合物分析方法</w:t>
      </w:r>
    </w:p>
    <w:p>
      <w:pPr>
        <w:spacing w:line="420" w:lineRule="exact"/>
        <w:rPr>
          <w:color w:val="auto"/>
          <w:sz w:val="24"/>
          <w:highlight w:val="none"/>
        </w:rPr>
      </w:pPr>
      <w:r>
        <w:rPr>
          <w:rFonts w:hint="eastAsia"/>
          <w:color w:val="auto"/>
          <w:sz w:val="24"/>
          <w:highlight w:val="none"/>
        </w:rPr>
        <w:t>弹塑性力学</w:t>
      </w:r>
      <w:r>
        <w:rPr>
          <w:rFonts w:hint="eastAsia"/>
          <w:color w:val="auto"/>
          <w:sz w:val="24"/>
          <w:highlight w:val="none"/>
        </w:rPr>
        <w:tab/>
      </w:r>
    </w:p>
    <w:p>
      <w:pPr>
        <w:spacing w:line="420" w:lineRule="exact"/>
        <w:rPr>
          <w:color w:val="auto"/>
          <w:sz w:val="24"/>
          <w:highlight w:val="none"/>
        </w:rPr>
      </w:pPr>
      <w:r>
        <w:rPr>
          <w:rFonts w:hint="eastAsia"/>
          <w:color w:val="auto"/>
          <w:sz w:val="24"/>
          <w:highlight w:val="none"/>
        </w:rPr>
        <w:t>功能材料结构与设计</w:t>
      </w:r>
      <w:r>
        <w:rPr>
          <w:rFonts w:hint="eastAsia"/>
          <w:color w:val="auto"/>
          <w:sz w:val="24"/>
          <w:highlight w:val="none"/>
        </w:rPr>
        <w:t xml:space="preserve"> A</w:t>
      </w:r>
    </w:p>
    <w:p>
      <w:pPr>
        <w:spacing w:line="420" w:lineRule="exact"/>
        <w:rPr>
          <w:color w:val="auto"/>
          <w:sz w:val="24"/>
          <w:highlight w:val="none"/>
        </w:rPr>
      </w:pPr>
      <w:r>
        <w:rPr>
          <w:rFonts w:hint="eastAsia"/>
          <w:color w:val="auto"/>
          <w:sz w:val="24"/>
          <w:highlight w:val="none"/>
        </w:rPr>
        <w:t>材料的变形、断裂和位错</w:t>
      </w:r>
      <w:r>
        <w:rPr>
          <w:rFonts w:hint="eastAsia"/>
          <w:color w:val="auto"/>
          <w:sz w:val="24"/>
          <w:highlight w:val="none"/>
        </w:rPr>
        <w:tab/>
      </w:r>
    </w:p>
    <w:p>
      <w:pPr>
        <w:spacing w:line="420" w:lineRule="exact"/>
        <w:rPr>
          <w:color w:val="auto"/>
          <w:sz w:val="24"/>
          <w:highlight w:val="none"/>
        </w:rPr>
      </w:pPr>
      <w:r>
        <w:rPr>
          <w:rFonts w:hint="eastAsia"/>
          <w:color w:val="auto"/>
          <w:sz w:val="24"/>
          <w:highlight w:val="none"/>
        </w:rPr>
        <w:t>材料的疲劳和断裂塑性加工力学</w:t>
      </w:r>
      <w:r>
        <w:rPr>
          <w:rFonts w:hint="eastAsia"/>
          <w:color w:val="auto"/>
          <w:sz w:val="24"/>
          <w:highlight w:val="none"/>
        </w:rPr>
        <w:tab/>
      </w:r>
    </w:p>
    <w:p>
      <w:pPr>
        <w:spacing w:line="420" w:lineRule="exact"/>
        <w:rPr>
          <w:color w:val="auto"/>
          <w:sz w:val="24"/>
          <w:highlight w:val="none"/>
        </w:rPr>
      </w:pPr>
      <w:r>
        <w:rPr>
          <w:rFonts w:hint="eastAsia"/>
          <w:color w:val="auto"/>
          <w:sz w:val="24"/>
          <w:highlight w:val="none"/>
        </w:rPr>
        <w:t>材料加工工程中的输运现象聚合物加工成型原理</w:t>
      </w:r>
      <w:r>
        <w:rPr>
          <w:rFonts w:hint="eastAsia"/>
          <w:color w:val="auto"/>
          <w:sz w:val="24"/>
          <w:highlight w:val="none"/>
        </w:rPr>
        <w:tab/>
      </w:r>
    </w:p>
    <w:p>
      <w:pPr>
        <w:spacing w:line="420" w:lineRule="exact"/>
        <w:rPr>
          <w:color w:val="auto"/>
          <w:sz w:val="24"/>
          <w:highlight w:val="none"/>
        </w:rPr>
      </w:pPr>
      <w:r>
        <w:rPr>
          <w:rFonts w:hint="eastAsia"/>
          <w:color w:val="auto"/>
          <w:sz w:val="24"/>
          <w:highlight w:val="none"/>
        </w:rPr>
        <w:t>材料的失效与防护</w:t>
      </w:r>
    </w:p>
    <w:p>
      <w:pPr>
        <w:spacing w:line="420" w:lineRule="exact"/>
        <w:rPr>
          <w:color w:val="auto"/>
          <w:sz w:val="24"/>
          <w:highlight w:val="none"/>
        </w:rPr>
      </w:pPr>
      <w:r>
        <w:rPr>
          <w:rFonts w:hint="eastAsia"/>
          <w:color w:val="auto"/>
          <w:sz w:val="24"/>
          <w:highlight w:val="none"/>
        </w:rPr>
        <w:t>微 / 纳加工技术</w:t>
      </w:r>
    </w:p>
    <w:p>
      <w:pPr>
        <w:spacing w:line="420" w:lineRule="exact"/>
        <w:rPr>
          <w:color w:val="auto"/>
          <w:sz w:val="24"/>
          <w:highlight w:val="none"/>
        </w:rPr>
      </w:pPr>
    </w:p>
    <w:p>
      <w:pPr>
        <w:numPr>
          <w:ilvl w:val="0"/>
          <w:numId w:val="3"/>
        </w:numPr>
        <w:spacing w:line="420" w:lineRule="exact"/>
        <w:rPr>
          <w:b/>
          <w:bCs/>
          <w:color w:val="auto"/>
          <w:sz w:val="24"/>
          <w:highlight w:val="none"/>
        </w:rPr>
      </w:pPr>
      <w:r>
        <w:rPr>
          <w:rFonts w:hint="eastAsia"/>
          <w:b/>
          <w:bCs/>
          <w:color w:val="auto"/>
          <w:sz w:val="24"/>
          <w:highlight w:val="none"/>
        </w:rPr>
        <w:t>专业课（研讨课及科学前沿讲座）</w:t>
      </w:r>
    </w:p>
    <w:p>
      <w:pPr>
        <w:spacing w:line="420" w:lineRule="exact"/>
        <w:rPr>
          <w:color w:val="auto"/>
          <w:sz w:val="24"/>
          <w:highlight w:val="none"/>
        </w:rPr>
      </w:pPr>
      <w:r>
        <w:rPr>
          <w:rFonts w:hint="eastAsia"/>
          <w:color w:val="auto"/>
          <w:sz w:val="24"/>
          <w:highlight w:val="none"/>
        </w:rPr>
        <w:t>根据学生科研工作的需要，灵活设置。</w:t>
      </w:r>
    </w:p>
    <w:p>
      <w:pPr>
        <w:spacing w:line="420" w:lineRule="exact"/>
        <w:rPr>
          <w:color w:val="auto"/>
          <w:sz w:val="24"/>
          <w:highlight w:val="none"/>
        </w:rPr>
      </w:pPr>
    </w:p>
    <w:p>
      <w:pPr>
        <w:spacing w:line="420" w:lineRule="exact"/>
        <w:rPr>
          <w:color w:val="auto"/>
          <w:sz w:val="24"/>
          <w:highlight w:val="none"/>
        </w:rPr>
      </w:pPr>
      <w:r>
        <w:rPr>
          <w:rFonts w:hint="eastAsia"/>
          <w:color w:val="auto"/>
          <w:sz w:val="24"/>
          <w:highlight w:val="none"/>
        </w:rPr>
        <w:t xml:space="preserve">   表1  硕士研究生课程体系</w:t>
      </w:r>
    </w:p>
    <w:tbl>
      <w:tblPr>
        <w:tblStyle w:val="8"/>
        <w:tblW w:w="0" w:type="auto"/>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4"/>
        <w:gridCol w:w="3827"/>
        <w:gridCol w:w="1304"/>
        <w:gridCol w:w="2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2064" w:type="dxa"/>
          </w:tcPr>
          <w:p>
            <w:pPr>
              <w:pStyle w:val="7"/>
              <w:autoSpaceDE w:val="0"/>
              <w:autoSpaceDN w:val="0"/>
              <w:spacing w:before="46"/>
              <w:ind w:left="589"/>
              <w:jc w:val="left"/>
              <w:rPr>
                <w:rFonts w:ascii="黑体" w:eastAsia="黑体"/>
                <w:color w:val="auto"/>
                <w:highlight w:val="none"/>
                <w:lang w:eastAsia="en-US"/>
              </w:rPr>
            </w:pPr>
            <w:r>
              <w:rPr>
                <w:rFonts w:hint="eastAsia" w:ascii="黑体" w:eastAsia="黑体"/>
                <w:color w:val="auto"/>
                <w:highlight w:val="none"/>
                <w:lang w:eastAsia="en-US"/>
              </w:rPr>
              <w:t>课程类别</w:t>
            </w:r>
          </w:p>
        </w:tc>
        <w:tc>
          <w:tcPr>
            <w:tcW w:w="3827" w:type="dxa"/>
          </w:tcPr>
          <w:p>
            <w:pPr>
              <w:pStyle w:val="7"/>
              <w:autoSpaceDE w:val="0"/>
              <w:autoSpaceDN w:val="0"/>
              <w:spacing w:before="46"/>
              <w:ind w:left="390" w:right="390"/>
              <w:rPr>
                <w:rFonts w:ascii="黑体" w:eastAsia="黑体"/>
                <w:color w:val="auto"/>
                <w:highlight w:val="none"/>
                <w:lang w:eastAsia="en-US"/>
              </w:rPr>
            </w:pPr>
            <w:r>
              <w:rPr>
                <w:rFonts w:hint="eastAsia" w:ascii="黑体" w:eastAsia="黑体"/>
                <w:color w:val="auto"/>
                <w:highlight w:val="none"/>
                <w:lang w:eastAsia="en-US"/>
              </w:rPr>
              <w:t>课程名称</w:t>
            </w:r>
          </w:p>
        </w:tc>
        <w:tc>
          <w:tcPr>
            <w:tcW w:w="1304" w:type="dxa"/>
          </w:tcPr>
          <w:p>
            <w:pPr>
              <w:pStyle w:val="7"/>
              <w:autoSpaceDE w:val="0"/>
              <w:autoSpaceDN w:val="0"/>
              <w:spacing w:before="46"/>
              <w:ind w:left="409" w:right="409"/>
              <w:rPr>
                <w:rFonts w:ascii="黑体" w:eastAsia="黑体"/>
                <w:color w:val="auto"/>
                <w:highlight w:val="none"/>
                <w:lang w:eastAsia="en-US"/>
              </w:rPr>
            </w:pPr>
            <w:r>
              <w:rPr>
                <w:rFonts w:hint="eastAsia" w:ascii="黑体" w:eastAsia="黑体"/>
                <w:color w:val="auto"/>
                <w:highlight w:val="none"/>
                <w:lang w:eastAsia="en-US"/>
              </w:rPr>
              <w:t>学分</w:t>
            </w:r>
          </w:p>
        </w:tc>
        <w:tc>
          <w:tcPr>
            <w:tcW w:w="2433" w:type="dxa"/>
          </w:tcPr>
          <w:p>
            <w:pPr>
              <w:pStyle w:val="7"/>
              <w:autoSpaceDE w:val="0"/>
              <w:autoSpaceDN w:val="0"/>
              <w:spacing w:before="46"/>
              <w:ind w:left="93" w:right="93"/>
              <w:rPr>
                <w:rFonts w:ascii="黑体" w:eastAsia="黑体"/>
                <w:color w:val="auto"/>
                <w:highlight w:val="none"/>
                <w:lang w:eastAsia="en-US"/>
              </w:rPr>
            </w:pPr>
            <w:r>
              <w:rPr>
                <w:rFonts w:hint="eastAsia" w:ascii="黑体" w:eastAsia="黑体"/>
                <w:color w:val="auto"/>
                <w:highlight w:val="none"/>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64" w:type="dxa"/>
            <w:vMerge w:val="restart"/>
          </w:tcPr>
          <w:p>
            <w:pPr>
              <w:pStyle w:val="7"/>
              <w:autoSpaceDE w:val="0"/>
              <w:autoSpaceDN w:val="0"/>
              <w:spacing w:before="10"/>
              <w:jc w:val="left"/>
              <w:rPr>
                <w:rFonts w:ascii="黑体"/>
                <w:color w:val="auto"/>
                <w:sz w:val="17"/>
                <w:highlight w:val="none"/>
                <w:lang w:eastAsia="en-US"/>
              </w:rPr>
            </w:pPr>
          </w:p>
          <w:p>
            <w:pPr>
              <w:pStyle w:val="7"/>
              <w:autoSpaceDE w:val="0"/>
              <w:autoSpaceDN w:val="0"/>
              <w:ind w:left="529"/>
              <w:jc w:val="left"/>
              <w:rPr>
                <w:color w:val="auto"/>
                <w:sz w:val="20"/>
                <w:highlight w:val="none"/>
                <w:lang w:eastAsia="en-US"/>
              </w:rPr>
            </w:pPr>
            <w:r>
              <w:rPr>
                <w:color w:val="auto"/>
                <w:sz w:val="20"/>
                <w:highlight w:val="none"/>
                <w:lang w:eastAsia="en-US"/>
              </w:rPr>
              <w:t>公共学位课</w:t>
            </w:r>
          </w:p>
        </w:tc>
        <w:tc>
          <w:tcPr>
            <w:tcW w:w="3827" w:type="dxa"/>
          </w:tcPr>
          <w:p>
            <w:pPr>
              <w:pStyle w:val="7"/>
              <w:autoSpaceDE w:val="0"/>
              <w:autoSpaceDN w:val="0"/>
              <w:spacing w:before="34"/>
              <w:ind w:left="390" w:right="390"/>
              <w:rPr>
                <w:color w:val="auto"/>
                <w:sz w:val="20"/>
                <w:highlight w:val="none"/>
                <w:lang w:eastAsia="zh-CN"/>
              </w:rPr>
            </w:pPr>
            <w:r>
              <w:rPr>
                <w:color w:val="auto"/>
                <w:sz w:val="20"/>
                <w:highlight w:val="none"/>
                <w:lang w:eastAsia="zh-CN"/>
              </w:rPr>
              <w:t>中国特色社会主义理论与实践研究</w:t>
            </w:r>
          </w:p>
        </w:tc>
        <w:tc>
          <w:tcPr>
            <w:tcW w:w="1304" w:type="dxa"/>
          </w:tcPr>
          <w:p>
            <w:pPr>
              <w:pStyle w:val="7"/>
              <w:autoSpaceDE w:val="0"/>
              <w:autoSpaceDN w:val="0"/>
              <w:spacing w:before="34"/>
              <w:rPr>
                <w:color w:val="auto"/>
                <w:sz w:val="20"/>
                <w:highlight w:val="none"/>
                <w:lang w:eastAsia="en-US"/>
              </w:rPr>
            </w:pPr>
            <w:r>
              <w:rPr>
                <w:color w:val="auto"/>
                <w:sz w:val="20"/>
                <w:highlight w:val="none"/>
                <w:lang w:eastAsia="en-US"/>
              </w:rPr>
              <w:t>2</w:t>
            </w:r>
          </w:p>
        </w:tc>
        <w:tc>
          <w:tcPr>
            <w:tcW w:w="2433" w:type="dxa"/>
            <w:vMerge w:val="restart"/>
          </w:tcPr>
          <w:p>
            <w:pPr>
              <w:pStyle w:val="7"/>
              <w:autoSpaceDE w:val="0"/>
              <w:autoSpaceDN w:val="0"/>
              <w:spacing w:before="112" w:line="251" w:lineRule="exact"/>
              <w:ind w:left="93" w:right="93"/>
              <w:rPr>
                <w:color w:val="auto"/>
                <w:sz w:val="20"/>
                <w:highlight w:val="none"/>
                <w:lang w:eastAsia="en-US"/>
              </w:rPr>
            </w:pPr>
            <w:r>
              <w:rPr>
                <w:color w:val="auto"/>
                <w:sz w:val="20"/>
                <w:highlight w:val="none"/>
                <w:lang w:eastAsia="en-US"/>
              </w:rPr>
              <w:t>公共学位课</w:t>
            </w:r>
          </w:p>
          <w:p>
            <w:pPr>
              <w:pStyle w:val="7"/>
              <w:autoSpaceDE w:val="0"/>
              <w:autoSpaceDN w:val="0"/>
              <w:spacing w:line="251" w:lineRule="exact"/>
              <w:ind w:left="93" w:right="93"/>
              <w:rPr>
                <w:color w:val="auto"/>
                <w:sz w:val="20"/>
                <w:highlight w:val="none"/>
                <w:lang w:eastAsia="en-US"/>
              </w:rPr>
            </w:pPr>
            <w:r>
              <w:rPr>
                <w:color w:val="auto"/>
                <w:sz w:val="20"/>
                <w:highlight w:val="none"/>
                <w:lang w:eastAsia="en-US"/>
              </w:rPr>
              <w:t>7</w:t>
            </w:r>
            <w:r>
              <w:rPr>
                <w:color w:val="auto"/>
                <w:spacing w:val="-50"/>
                <w:sz w:val="20"/>
                <w:highlight w:val="none"/>
                <w:lang w:eastAsia="en-US"/>
              </w:rPr>
              <w:t xml:space="preserve"> </w:t>
            </w:r>
            <w:r>
              <w:rPr>
                <w:color w:val="auto"/>
                <w:sz w:val="20"/>
                <w:highlight w:val="none"/>
                <w:lang w:eastAsia="en-US"/>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64" w:type="dxa"/>
            <w:vMerge w:val="continue"/>
          </w:tcPr>
          <w:p>
            <w:pPr>
              <w:autoSpaceDE w:val="0"/>
              <w:autoSpaceDN w:val="0"/>
              <w:rPr>
                <w:color w:val="auto"/>
                <w:highlight w:val="none"/>
                <w:lang w:eastAsia="en-US"/>
              </w:rPr>
            </w:pPr>
          </w:p>
        </w:tc>
        <w:tc>
          <w:tcPr>
            <w:tcW w:w="3827" w:type="dxa"/>
          </w:tcPr>
          <w:p>
            <w:pPr>
              <w:pStyle w:val="7"/>
              <w:autoSpaceDE w:val="0"/>
              <w:autoSpaceDN w:val="0"/>
              <w:spacing w:before="34"/>
              <w:ind w:left="390" w:right="390"/>
              <w:rPr>
                <w:color w:val="auto"/>
                <w:sz w:val="20"/>
                <w:highlight w:val="none"/>
                <w:lang w:eastAsia="zh-CN"/>
              </w:rPr>
            </w:pPr>
            <w:r>
              <w:rPr>
                <w:color w:val="auto"/>
                <w:sz w:val="20"/>
                <w:highlight w:val="none"/>
                <w:lang w:eastAsia="zh-CN"/>
              </w:rPr>
              <w:t>学术道德与学术写作规范</w:t>
            </w:r>
          </w:p>
        </w:tc>
        <w:tc>
          <w:tcPr>
            <w:tcW w:w="1304" w:type="dxa"/>
          </w:tcPr>
          <w:p>
            <w:pPr>
              <w:pStyle w:val="7"/>
              <w:autoSpaceDE w:val="0"/>
              <w:autoSpaceDN w:val="0"/>
              <w:spacing w:before="34"/>
              <w:rPr>
                <w:color w:val="auto"/>
                <w:sz w:val="20"/>
                <w:highlight w:val="none"/>
                <w:lang w:eastAsia="en-US"/>
              </w:rPr>
            </w:pPr>
            <w:r>
              <w:rPr>
                <w:color w:val="auto"/>
                <w:sz w:val="20"/>
                <w:highlight w:val="none"/>
                <w:lang w:eastAsia="en-US"/>
              </w:rPr>
              <w:t>1</w:t>
            </w:r>
          </w:p>
        </w:tc>
        <w:tc>
          <w:tcPr>
            <w:tcW w:w="2433" w:type="dxa"/>
            <w:vMerge w:val="continue"/>
          </w:tcPr>
          <w:p>
            <w:pPr>
              <w:autoSpaceDE w:val="0"/>
              <w:autoSpaceDN w:val="0"/>
              <w:rPr>
                <w:color w:val="auto"/>
                <w:highlight w:val="none"/>
                <w:lang w:eastAsia="en-US"/>
              </w:rPr>
            </w:pPr>
          </w:p>
        </w:tc>
      </w:tr>
    </w:tbl>
    <w:p>
      <w:pPr>
        <w:rPr>
          <w:color w:val="auto"/>
          <w:highlight w:val="none"/>
        </w:rPr>
        <w:sectPr>
          <w:pgSz w:w="11910" w:h="16160"/>
          <w:pgMar w:top="1120" w:right="920" w:bottom="700" w:left="1020" w:header="0" w:footer="506" w:gutter="0"/>
          <w:cols w:space="720" w:num="1"/>
        </w:sectPr>
      </w:pPr>
    </w:p>
    <w:p>
      <w:pPr>
        <w:pStyle w:val="2"/>
        <w:spacing w:before="0"/>
        <w:rPr>
          <w:rFonts w:ascii="黑体"/>
          <w:color w:val="auto"/>
          <w:sz w:val="20"/>
          <w:highlight w:val="none"/>
        </w:rPr>
      </w:pPr>
    </w:p>
    <w:tbl>
      <w:tblPr>
        <w:tblStyle w:val="8"/>
        <w:tblpPr w:leftFromText="180" w:rightFromText="180" w:vertAnchor="text" w:horzAnchor="page" w:tblpX="1116" w:tblpY="209"/>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4"/>
        <w:gridCol w:w="3827"/>
        <w:gridCol w:w="1304"/>
        <w:gridCol w:w="2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2064" w:type="dxa"/>
          </w:tcPr>
          <w:p>
            <w:pPr>
              <w:pStyle w:val="7"/>
              <w:autoSpaceDE w:val="0"/>
              <w:autoSpaceDN w:val="0"/>
              <w:spacing w:before="46"/>
              <w:ind w:left="509" w:right="509"/>
              <w:rPr>
                <w:rFonts w:ascii="黑体" w:eastAsia="黑体"/>
                <w:color w:val="auto"/>
                <w:highlight w:val="none"/>
                <w:lang w:eastAsia="en-US"/>
              </w:rPr>
            </w:pPr>
            <w:r>
              <w:rPr>
                <w:rFonts w:hint="eastAsia" w:ascii="黑体" w:eastAsia="黑体"/>
                <w:color w:val="auto"/>
                <w:highlight w:val="none"/>
                <w:lang w:eastAsia="en-US"/>
              </w:rPr>
              <w:t>课程类别</w:t>
            </w:r>
          </w:p>
        </w:tc>
        <w:tc>
          <w:tcPr>
            <w:tcW w:w="3827" w:type="dxa"/>
          </w:tcPr>
          <w:p>
            <w:pPr>
              <w:pStyle w:val="7"/>
              <w:autoSpaceDE w:val="0"/>
              <w:autoSpaceDN w:val="0"/>
              <w:spacing w:before="46"/>
              <w:ind w:left="390" w:right="390"/>
              <w:rPr>
                <w:rFonts w:ascii="黑体" w:eastAsia="黑体"/>
                <w:color w:val="auto"/>
                <w:highlight w:val="none"/>
                <w:lang w:eastAsia="en-US"/>
              </w:rPr>
            </w:pPr>
            <w:r>
              <w:rPr>
                <w:rFonts w:hint="eastAsia" w:ascii="黑体" w:eastAsia="黑体"/>
                <w:color w:val="auto"/>
                <w:highlight w:val="none"/>
                <w:lang w:eastAsia="en-US"/>
              </w:rPr>
              <w:t>课程名称</w:t>
            </w:r>
          </w:p>
        </w:tc>
        <w:tc>
          <w:tcPr>
            <w:tcW w:w="1304" w:type="dxa"/>
          </w:tcPr>
          <w:p>
            <w:pPr>
              <w:pStyle w:val="7"/>
              <w:autoSpaceDE w:val="0"/>
              <w:autoSpaceDN w:val="0"/>
              <w:spacing w:before="46"/>
              <w:ind w:left="409" w:right="409"/>
              <w:rPr>
                <w:rFonts w:ascii="黑体" w:eastAsia="黑体"/>
                <w:color w:val="auto"/>
                <w:highlight w:val="none"/>
                <w:lang w:eastAsia="en-US"/>
              </w:rPr>
            </w:pPr>
            <w:r>
              <w:rPr>
                <w:rFonts w:hint="eastAsia" w:ascii="黑体" w:eastAsia="黑体"/>
                <w:color w:val="auto"/>
                <w:highlight w:val="none"/>
                <w:lang w:eastAsia="en-US"/>
              </w:rPr>
              <w:t>学分</w:t>
            </w:r>
          </w:p>
        </w:tc>
        <w:tc>
          <w:tcPr>
            <w:tcW w:w="2433" w:type="dxa"/>
          </w:tcPr>
          <w:p>
            <w:pPr>
              <w:pStyle w:val="7"/>
              <w:autoSpaceDE w:val="0"/>
              <w:autoSpaceDN w:val="0"/>
              <w:spacing w:before="46"/>
              <w:ind w:left="93" w:right="93"/>
              <w:rPr>
                <w:rFonts w:ascii="黑体" w:eastAsia="黑体"/>
                <w:color w:val="auto"/>
                <w:highlight w:val="none"/>
                <w:lang w:eastAsia="en-US"/>
              </w:rPr>
            </w:pPr>
            <w:r>
              <w:rPr>
                <w:rFonts w:hint="eastAsia" w:ascii="黑体" w:eastAsia="黑体"/>
                <w:color w:val="auto"/>
                <w:highlight w:val="none"/>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64" w:type="dxa"/>
            <w:vMerge w:val="restart"/>
          </w:tcPr>
          <w:p>
            <w:pPr>
              <w:pStyle w:val="7"/>
              <w:autoSpaceDE w:val="0"/>
              <w:autoSpaceDN w:val="0"/>
              <w:spacing w:before="10"/>
              <w:jc w:val="left"/>
              <w:rPr>
                <w:rFonts w:ascii="黑体"/>
                <w:color w:val="auto"/>
                <w:sz w:val="17"/>
                <w:highlight w:val="none"/>
                <w:lang w:eastAsia="en-US"/>
              </w:rPr>
            </w:pPr>
          </w:p>
          <w:p>
            <w:pPr>
              <w:pStyle w:val="7"/>
              <w:autoSpaceDE w:val="0"/>
              <w:autoSpaceDN w:val="0"/>
              <w:ind w:left="529"/>
              <w:jc w:val="left"/>
              <w:rPr>
                <w:color w:val="auto"/>
                <w:sz w:val="20"/>
                <w:highlight w:val="none"/>
                <w:lang w:eastAsia="en-US"/>
              </w:rPr>
            </w:pPr>
            <w:r>
              <w:rPr>
                <w:color w:val="auto"/>
                <w:sz w:val="20"/>
                <w:highlight w:val="none"/>
                <w:lang w:eastAsia="en-US"/>
              </w:rPr>
              <w:t>公共学位课</w:t>
            </w:r>
          </w:p>
        </w:tc>
        <w:tc>
          <w:tcPr>
            <w:tcW w:w="3827" w:type="dxa"/>
          </w:tcPr>
          <w:p>
            <w:pPr>
              <w:pStyle w:val="7"/>
              <w:autoSpaceDE w:val="0"/>
              <w:autoSpaceDN w:val="0"/>
              <w:spacing w:before="34"/>
              <w:ind w:left="390" w:right="390"/>
              <w:rPr>
                <w:color w:val="auto"/>
                <w:sz w:val="20"/>
                <w:highlight w:val="none"/>
                <w:lang w:eastAsia="en-US"/>
              </w:rPr>
            </w:pPr>
            <w:r>
              <w:rPr>
                <w:color w:val="auto"/>
                <w:sz w:val="20"/>
                <w:highlight w:val="none"/>
                <w:lang w:eastAsia="en-US"/>
              </w:rPr>
              <w:t>自然辩证法概论</w:t>
            </w:r>
          </w:p>
        </w:tc>
        <w:tc>
          <w:tcPr>
            <w:tcW w:w="1304" w:type="dxa"/>
          </w:tcPr>
          <w:p>
            <w:pPr>
              <w:pStyle w:val="7"/>
              <w:autoSpaceDE w:val="0"/>
              <w:autoSpaceDN w:val="0"/>
              <w:spacing w:before="34"/>
              <w:rPr>
                <w:color w:val="auto"/>
                <w:sz w:val="20"/>
                <w:highlight w:val="none"/>
                <w:lang w:eastAsia="en-US"/>
              </w:rPr>
            </w:pPr>
            <w:r>
              <w:rPr>
                <w:color w:val="auto"/>
                <w:sz w:val="20"/>
                <w:highlight w:val="none"/>
                <w:lang w:eastAsia="en-US"/>
              </w:rPr>
              <w:t>1</w:t>
            </w:r>
          </w:p>
        </w:tc>
        <w:tc>
          <w:tcPr>
            <w:tcW w:w="2433" w:type="dxa"/>
            <w:vMerge w:val="restart"/>
          </w:tcPr>
          <w:p>
            <w:pPr>
              <w:pStyle w:val="7"/>
              <w:autoSpaceDE w:val="0"/>
              <w:autoSpaceDN w:val="0"/>
              <w:spacing w:before="112" w:line="251" w:lineRule="exact"/>
              <w:ind w:left="93" w:right="93"/>
              <w:rPr>
                <w:color w:val="auto"/>
                <w:sz w:val="20"/>
                <w:highlight w:val="none"/>
                <w:lang w:eastAsia="en-US"/>
              </w:rPr>
            </w:pPr>
            <w:r>
              <w:rPr>
                <w:color w:val="auto"/>
                <w:sz w:val="20"/>
                <w:highlight w:val="none"/>
                <w:lang w:eastAsia="en-US"/>
              </w:rPr>
              <w:t>公共学位课</w:t>
            </w:r>
          </w:p>
          <w:p>
            <w:pPr>
              <w:pStyle w:val="7"/>
              <w:autoSpaceDE w:val="0"/>
              <w:autoSpaceDN w:val="0"/>
              <w:spacing w:line="251" w:lineRule="exact"/>
              <w:ind w:left="93" w:right="93"/>
              <w:rPr>
                <w:color w:val="auto"/>
                <w:sz w:val="20"/>
                <w:highlight w:val="none"/>
                <w:lang w:eastAsia="en-US"/>
              </w:rPr>
            </w:pPr>
            <w:r>
              <w:rPr>
                <w:color w:val="auto"/>
                <w:sz w:val="20"/>
                <w:highlight w:val="none"/>
                <w:lang w:eastAsia="en-US"/>
              </w:rPr>
              <w:t>7</w:t>
            </w:r>
            <w:r>
              <w:rPr>
                <w:color w:val="auto"/>
                <w:spacing w:val="-50"/>
                <w:sz w:val="20"/>
                <w:highlight w:val="none"/>
                <w:lang w:eastAsia="en-US"/>
              </w:rPr>
              <w:t xml:space="preserve"> </w:t>
            </w:r>
            <w:r>
              <w:rPr>
                <w:color w:val="auto"/>
                <w:sz w:val="20"/>
                <w:highlight w:val="none"/>
                <w:lang w:eastAsia="en-US"/>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64" w:type="dxa"/>
            <w:vMerge w:val="continue"/>
          </w:tcPr>
          <w:p>
            <w:pPr>
              <w:autoSpaceDE w:val="0"/>
              <w:autoSpaceDN w:val="0"/>
              <w:rPr>
                <w:color w:val="auto"/>
                <w:highlight w:val="none"/>
                <w:lang w:eastAsia="en-US"/>
              </w:rPr>
            </w:pPr>
          </w:p>
        </w:tc>
        <w:tc>
          <w:tcPr>
            <w:tcW w:w="3827" w:type="dxa"/>
          </w:tcPr>
          <w:p>
            <w:pPr>
              <w:pStyle w:val="7"/>
              <w:autoSpaceDE w:val="0"/>
              <w:autoSpaceDN w:val="0"/>
              <w:spacing w:before="34"/>
              <w:ind w:left="390" w:right="390"/>
              <w:rPr>
                <w:color w:val="auto"/>
                <w:sz w:val="20"/>
                <w:highlight w:val="none"/>
                <w:lang w:eastAsia="en-US"/>
              </w:rPr>
            </w:pPr>
            <w:r>
              <w:rPr>
                <w:color w:val="auto"/>
                <w:sz w:val="20"/>
                <w:highlight w:val="none"/>
                <w:lang w:eastAsia="en-US"/>
              </w:rPr>
              <w:t>硕士学位英语</w:t>
            </w:r>
            <w:r>
              <w:rPr>
                <w:color w:val="auto"/>
                <w:spacing w:val="-50"/>
                <w:sz w:val="20"/>
                <w:highlight w:val="none"/>
                <w:lang w:eastAsia="en-US"/>
              </w:rPr>
              <w:t xml:space="preserve"> </w:t>
            </w:r>
            <w:r>
              <w:rPr>
                <w:color w:val="auto"/>
                <w:sz w:val="20"/>
                <w:highlight w:val="none"/>
                <w:lang w:eastAsia="en-US"/>
              </w:rPr>
              <w:t>(</w:t>
            </w:r>
            <w:r>
              <w:rPr>
                <w:color w:val="auto"/>
                <w:spacing w:val="-50"/>
                <w:sz w:val="20"/>
                <w:highlight w:val="none"/>
                <w:lang w:eastAsia="en-US"/>
              </w:rPr>
              <w:t xml:space="preserve"> </w:t>
            </w:r>
            <w:r>
              <w:rPr>
                <w:color w:val="auto"/>
                <w:sz w:val="20"/>
                <w:highlight w:val="none"/>
                <w:lang w:eastAsia="en-US"/>
              </w:rPr>
              <w:t>英语</w:t>
            </w:r>
            <w:r>
              <w:rPr>
                <w:color w:val="auto"/>
                <w:spacing w:val="-50"/>
                <w:sz w:val="20"/>
                <w:highlight w:val="none"/>
                <w:lang w:eastAsia="en-US"/>
              </w:rPr>
              <w:t xml:space="preserve"> </w:t>
            </w:r>
            <w:r>
              <w:rPr>
                <w:color w:val="auto"/>
                <w:sz w:val="20"/>
                <w:highlight w:val="none"/>
                <w:lang w:eastAsia="en-US"/>
              </w:rPr>
              <w:t>A)</w:t>
            </w:r>
          </w:p>
        </w:tc>
        <w:tc>
          <w:tcPr>
            <w:tcW w:w="1304" w:type="dxa"/>
          </w:tcPr>
          <w:p>
            <w:pPr>
              <w:pStyle w:val="7"/>
              <w:autoSpaceDE w:val="0"/>
              <w:autoSpaceDN w:val="0"/>
              <w:spacing w:before="34"/>
              <w:rPr>
                <w:color w:val="auto"/>
                <w:sz w:val="20"/>
                <w:highlight w:val="none"/>
                <w:lang w:eastAsia="en-US"/>
              </w:rPr>
            </w:pPr>
            <w:r>
              <w:rPr>
                <w:color w:val="auto"/>
                <w:sz w:val="20"/>
                <w:highlight w:val="none"/>
                <w:lang w:eastAsia="en-US"/>
              </w:rPr>
              <w:t>3</w:t>
            </w:r>
          </w:p>
        </w:tc>
        <w:tc>
          <w:tcPr>
            <w:tcW w:w="2433"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64" w:type="dxa"/>
            <w:vMerge w:val="restart"/>
          </w:tcPr>
          <w:p>
            <w:pPr>
              <w:pStyle w:val="7"/>
              <w:autoSpaceDE w:val="0"/>
              <w:autoSpaceDN w:val="0"/>
              <w:jc w:val="left"/>
              <w:rPr>
                <w:rFonts w:ascii="黑体"/>
                <w:color w:val="auto"/>
                <w:sz w:val="20"/>
                <w:highlight w:val="none"/>
                <w:lang w:eastAsia="en-US"/>
              </w:rPr>
            </w:pPr>
          </w:p>
          <w:p>
            <w:pPr>
              <w:pStyle w:val="7"/>
              <w:autoSpaceDE w:val="0"/>
              <w:autoSpaceDN w:val="0"/>
              <w:spacing w:before="169"/>
              <w:ind w:left="529"/>
              <w:jc w:val="left"/>
              <w:rPr>
                <w:color w:val="auto"/>
                <w:sz w:val="20"/>
                <w:highlight w:val="none"/>
                <w:lang w:eastAsia="en-US"/>
              </w:rPr>
            </w:pPr>
            <w:r>
              <w:rPr>
                <w:color w:val="auto"/>
                <w:sz w:val="20"/>
                <w:highlight w:val="none"/>
                <w:lang w:eastAsia="en-US"/>
              </w:rPr>
              <w:t>专业学位课</w:t>
            </w:r>
          </w:p>
        </w:tc>
        <w:tc>
          <w:tcPr>
            <w:tcW w:w="3827" w:type="dxa"/>
          </w:tcPr>
          <w:p>
            <w:pPr>
              <w:pStyle w:val="7"/>
              <w:autoSpaceDE w:val="0"/>
              <w:autoSpaceDN w:val="0"/>
              <w:spacing w:before="34"/>
              <w:ind w:left="390" w:right="390"/>
              <w:rPr>
                <w:color w:val="auto"/>
                <w:sz w:val="20"/>
                <w:highlight w:val="none"/>
                <w:lang w:eastAsia="en-US"/>
              </w:rPr>
            </w:pPr>
            <w:r>
              <w:rPr>
                <w:color w:val="auto"/>
                <w:sz w:val="20"/>
                <w:highlight w:val="none"/>
                <w:lang w:eastAsia="en-US"/>
              </w:rPr>
              <w:t>核心课</w:t>
            </w:r>
          </w:p>
        </w:tc>
        <w:tc>
          <w:tcPr>
            <w:tcW w:w="1304" w:type="dxa"/>
          </w:tcPr>
          <w:p>
            <w:pPr>
              <w:autoSpaceDE w:val="0"/>
              <w:autoSpaceDN w:val="0"/>
              <w:rPr>
                <w:color w:val="auto"/>
                <w:highlight w:val="none"/>
                <w:lang w:eastAsia="en-US"/>
              </w:rPr>
            </w:pPr>
          </w:p>
        </w:tc>
        <w:tc>
          <w:tcPr>
            <w:tcW w:w="2433" w:type="dxa"/>
            <w:vMerge w:val="restart"/>
          </w:tcPr>
          <w:p>
            <w:pPr>
              <w:pStyle w:val="7"/>
              <w:autoSpaceDE w:val="0"/>
              <w:autoSpaceDN w:val="0"/>
              <w:jc w:val="left"/>
              <w:rPr>
                <w:rFonts w:ascii="黑体"/>
                <w:color w:val="auto"/>
                <w:sz w:val="20"/>
                <w:highlight w:val="none"/>
                <w:lang w:eastAsia="zh-CN"/>
              </w:rPr>
            </w:pPr>
          </w:p>
          <w:p>
            <w:pPr>
              <w:pStyle w:val="7"/>
              <w:autoSpaceDE w:val="0"/>
              <w:autoSpaceDN w:val="0"/>
              <w:spacing w:before="169"/>
              <w:ind w:left="64"/>
              <w:jc w:val="left"/>
              <w:rPr>
                <w:color w:val="auto"/>
                <w:sz w:val="20"/>
                <w:highlight w:val="none"/>
                <w:lang w:eastAsia="zh-CN"/>
              </w:rPr>
            </w:pPr>
            <w:r>
              <w:rPr>
                <w:color w:val="auto"/>
                <w:sz w:val="20"/>
                <w:highlight w:val="none"/>
                <w:lang w:eastAsia="zh-CN"/>
              </w:rPr>
              <w:t>专业学位课不低于</w:t>
            </w:r>
            <w:r>
              <w:rPr>
                <w:color w:val="auto"/>
                <w:spacing w:val="-50"/>
                <w:sz w:val="20"/>
                <w:highlight w:val="none"/>
                <w:lang w:eastAsia="zh-CN"/>
              </w:rPr>
              <w:t xml:space="preserve"> </w:t>
            </w:r>
            <w:r>
              <w:rPr>
                <w:color w:val="auto"/>
                <w:sz w:val="20"/>
                <w:highlight w:val="none"/>
                <w:lang w:eastAsia="zh-CN"/>
              </w:rPr>
              <w:t>12</w:t>
            </w:r>
            <w:r>
              <w:rPr>
                <w:color w:val="auto"/>
                <w:spacing w:val="-50"/>
                <w:sz w:val="20"/>
                <w:highlight w:val="none"/>
                <w:lang w:eastAsia="zh-CN"/>
              </w:rPr>
              <w:t xml:space="preserve"> </w:t>
            </w:r>
            <w:r>
              <w:rPr>
                <w:color w:val="auto"/>
                <w:sz w:val="20"/>
                <w:highlight w:val="none"/>
                <w:lang w:eastAsia="zh-CN"/>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64" w:type="dxa"/>
            <w:vMerge w:val="continue"/>
          </w:tcPr>
          <w:p>
            <w:pPr>
              <w:autoSpaceDE w:val="0"/>
              <w:autoSpaceDN w:val="0"/>
              <w:rPr>
                <w:color w:val="auto"/>
                <w:highlight w:val="none"/>
                <w:lang w:eastAsia="zh-CN"/>
              </w:rPr>
            </w:pPr>
          </w:p>
        </w:tc>
        <w:tc>
          <w:tcPr>
            <w:tcW w:w="3827" w:type="dxa"/>
          </w:tcPr>
          <w:p>
            <w:pPr>
              <w:pStyle w:val="7"/>
              <w:autoSpaceDE w:val="0"/>
              <w:autoSpaceDN w:val="0"/>
              <w:spacing w:before="34"/>
              <w:ind w:left="390" w:right="390"/>
              <w:rPr>
                <w:color w:val="auto"/>
                <w:sz w:val="20"/>
                <w:highlight w:val="none"/>
                <w:lang w:eastAsia="en-US"/>
              </w:rPr>
            </w:pPr>
            <w:r>
              <w:rPr>
                <w:color w:val="auto"/>
                <w:sz w:val="20"/>
                <w:highlight w:val="none"/>
                <w:lang w:eastAsia="en-US"/>
              </w:rPr>
              <w:t>普及课</w:t>
            </w:r>
          </w:p>
        </w:tc>
        <w:tc>
          <w:tcPr>
            <w:tcW w:w="1304" w:type="dxa"/>
          </w:tcPr>
          <w:p>
            <w:pPr>
              <w:autoSpaceDE w:val="0"/>
              <w:autoSpaceDN w:val="0"/>
              <w:rPr>
                <w:color w:val="auto"/>
                <w:highlight w:val="none"/>
                <w:lang w:eastAsia="en-US"/>
              </w:rPr>
            </w:pPr>
          </w:p>
        </w:tc>
        <w:tc>
          <w:tcPr>
            <w:tcW w:w="2433"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64" w:type="dxa"/>
            <w:vMerge w:val="continue"/>
          </w:tcPr>
          <w:p>
            <w:pPr>
              <w:autoSpaceDE w:val="0"/>
              <w:autoSpaceDN w:val="0"/>
              <w:rPr>
                <w:color w:val="auto"/>
                <w:highlight w:val="none"/>
                <w:lang w:eastAsia="en-US"/>
              </w:rPr>
            </w:pPr>
          </w:p>
        </w:tc>
        <w:tc>
          <w:tcPr>
            <w:tcW w:w="3827" w:type="dxa"/>
          </w:tcPr>
          <w:p>
            <w:pPr>
              <w:pStyle w:val="7"/>
              <w:autoSpaceDE w:val="0"/>
              <w:autoSpaceDN w:val="0"/>
              <w:spacing w:before="34"/>
              <w:ind w:left="390" w:right="390"/>
              <w:rPr>
                <w:color w:val="auto"/>
                <w:sz w:val="20"/>
                <w:highlight w:val="none"/>
                <w:lang w:eastAsia="en-US"/>
              </w:rPr>
            </w:pPr>
            <w:r>
              <w:rPr>
                <w:color w:val="auto"/>
                <w:sz w:val="20"/>
                <w:highlight w:val="none"/>
                <w:lang w:eastAsia="en-US"/>
              </w:rPr>
              <w:t>研讨课</w:t>
            </w:r>
          </w:p>
        </w:tc>
        <w:tc>
          <w:tcPr>
            <w:tcW w:w="1304" w:type="dxa"/>
          </w:tcPr>
          <w:p>
            <w:pPr>
              <w:autoSpaceDE w:val="0"/>
              <w:autoSpaceDN w:val="0"/>
              <w:rPr>
                <w:color w:val="auto"/>
                <w:highlight w:val="none"/>
                <w:lang w:eastAsia="en-US"/>
              </w:rPr>
            </w:pPr>
          </w:p>
        </w:tc>
        <w:tc>
          <w:tcPr>
            <w:tcW w:w="2433"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64" w:type="dxa"/>
            <w:vMerge w:val="restart"/>
          </w:tcPr>
          <w:p>
            <w:pPr>
              <w:pStyle w:val="7"/>
              <w:autoSpaceDE w:val="0"/>
              <w:autoSpaceDN w:val="0"/>
              <w:jc w:val="left"/>
              <w:rPr>
                <w:rFonts w:ascii="黑体"/>
                <w:color w:val="auto"/>
                <w:sz w:val="20"/>
                <w:highlight w:val="none"/>
                <w:lang w:eastAsia="en-US"/>
              </w:rPr>
            </w:pPr>
          </w:p>
          <w:p>
            <w:pPr>
              <w:pStyle w:val="7"/>
              <w:autoSpaceDE w:val="0"/>
              <w:autoSpaceDN w:val="0"/>
              <w:spacing w:before="1"/>
              <w:jc w:val="left"/>
              <w:rPr>
                <w:rFonts w:ascii="黑体"/>
                <w:color w:val="auto"/>
                <w:sz w:val="28"/>
                <w:highlight w:val="none"/>
                <w:lang w:eastAsia="en-US"/>
              </w:rPr>
            </w:pPr>
          </w:p>
          <w:p>
            <w:pPr>
              <w:pStyle w:val="7"/>
              <w:autoSpaceDE w:val="0"/>
              <w:autoSpaceDN w:val="0"/>
              <w:ind w:left="529"/>
              <w:jc w:val="left"/>
              <w:rPr>
                <w:color w:val="auto"/>
                <w:sz w:val="20"/>
                <w:highlight w:val="none"/>
                <w:lang w:eastAsia="en-US"/>
              </w:rPr>
            </w:pPr>
            <w:r>
              <w:rPr>
                <w:color w:val="auto"/>
                <w:sz w:val="20"/>
                <w:highlight w:val="none"/>
                <w:lang w:eastAsia="en-US"/>
              </w:rPr>
              <w:t>专业选修课</w:t>
            </w:r>
          </w:p>
        </w:tc>
        <w:tc>
          <w:tcPr>
            <w:tcW w:w="3827" w:type="dxa"/>
          </w:tcPr>
          <w:p>
            <w:pPr>
              <w:pStyle w:val="7"/>
              <w:autoSpaceDE w:val="0"/>
              <w:autoSpaceDN w:val="0"/>
              <w:spacing w:before="34"/>
              <w:ind w:left="390" w:right="390"/>
              <w:rPr>
                <w:color w:val="auto"/>
                <w:sz w:val="20"/>
                <w:highlight w:val="none"/>
                <w:lang w:eastAsia="en-US"/>
              </w:rPr>
            </w:pPr>
            <w:r>
              <w:rPr>
                <w:color w:val="auto"/>
                <w:sz w:val="20"/>
                <w:highlight w:val="none"/>
                <w:lang w:eastAsia="en-US"/>
              </w:rPr>
              <w:t>核心课</w:t>
            </w:r>
          </w:p>
        </w:tc>
        <w:tc>
          <w:tcPr>
            <w:tcW w:w="1304" w:type="dxa"/>
          </w:tcPr>
          <w:p>
            <w:pPr>
              <w:autoSpaceDE w:val="0"/>
              <w:autoSpaceDN w:val="0"/>
              <w:rPr>
                <w:color w:val="auto"/>
                <w:highlight w:val="none"/>
                <w:lang w:eastAsia="en-US"/>
              </w:rPr>
            </w:pPr>
          </w:p>
        </w:tc>
        <w:tc>
          <w:tcPr>
            <w:tcW w:w="2433" w:type="dxa"/>
            <w:vMerge w:val="restart"/>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64" w:type="dxa"/>
            <w:vMerge w:val="continue"/>
          </w:tcPr>
          <w:p>
            <w:pPr>
              <w:autoSpaceDE w:val="0"/>
              <w:autoSpaceDN w:val="0"/>
              <w:rPr>
                <w:color w:val="auto"/>
                <w:highlight w:val="none"/>
                <w:lang w:eastAsia="en-US"/>
              </w:rPr>
            </w:pPr>
          </w:p>
        </w:tc>
        <w:tc>
          <w:tcPr>
            <w:tcW w:w="3827" w:type="dxa"/>
          </w:tcPr>
          <w:p>
            <w:pPr>
              <w:pStyle w:val="7"/>
              <w:autoSpaceDE w:val="0"/>
              <w:autoSpaceDN w:val="0"/>
              <w:spacing w:before="34"/>
              <w:ind w:left="390" w:right="390"/>
              <w:rPr>
                <w:color w:val="auto"/>
                <w:sz w:val="20"/>
                <w:highlight w:val="none"/>
                <w:lang w:eastAsia="en-US"/>
              </w:rPr>
            </w:pPr>
            <w:r>
              <w:rPr>
                <w:color w:val="auto"/>
                <w:sz w:val="20"/>
                <w:highlight w:val="none"/>
                <w:lang w:eastAsia="en-US"/>
              </w:rPr>
              <w:t>普及课</w:t>
            </w:r>
          </w:p>
        </w:tc>
        <w:tc>
          <w:tcPr>
            <w:tcW w:w="1304" w:type="dxa"/>
          </w:tcPr>
          <w:p>
            <w:pPr>
              <w:autoSpaceDE w:val="0"/>
              <w:autoSpaceDN w:val="0"/>
              <w:rPr>
                <w:color w:val="auto"/>
                <w:highlight w:val="none"/>
                <w:lang w:eastAsia="en-US"/>
              </w:rPr>
            </w:pPr>
          </w:p>
        </w:tc>
        <w:tc>
          <w:tcPr>
            <w:tcW w:w="2433"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64" w:type="dxa"/>
            <w:vMerge w:val="continue"/>
          </w:tcPr>
          <w:p>
            <w:pPr>
              <w:autoSpaceDE w:val="0"/>
              <w:autoSpaceDN w:val="0"/>
              <w:rPr>
                <w:color w:val="auto"/>
                <w:highlight w:val="none"/>
                <w:lang w:eastAsia="en-US"/>
              </w:rPr>
            </w:pPr>
          </w:p>
        </w:tc>
        <w:tc>
          <w:tcPr>
            <w:tcW w:w="3827" w:type="dxa"/>
          </w:tcPr>
          <w:p>
            <w:pPr>
              <w:pStyle w:val="7"/>
              <w:autoSpaceDE w:val="0"/>
              <w:autoSpaceDN w:val="0"/>
              <w:spacing w:before="34"/>
              <w:ind w:left="390" w:right="390"/>
              <w:rPr>
                <w:color w:val="auto"/>
                <w:sz w:val="20"/>
                <w:highlight w:val="none"/>
                <w:lang w:eastAsia="en-US"/>
              </w:rPr>
            </w:pPr>
            <w:r>
              <w:rPr>
                <w:color w:val="auto"/>
                <w:sz w:val="20"/>
                <w:highlight w:val="none"/>
                <w:lang w:eastAsia="en-US"/>
              </w:rPr>
              <w:t>研讨课</w:t>
            </w:r>
          </w:p>
        </w:tc>
        <w:tc>
          <w:tcPr>
            <w:tcW w:w="1304" w:type="dxa"/>
          </w:tcPr>
          <w:p>
            <w:pPr>
              <w:autoSpaceDE w:val="0"/>
              <w:autoSpaceDN w:val="0"/>
              <w:rPr>
                <w:color w:val="auto"/>
                <w:highlight w:val="none"/>
                <w:lang w:eastAsia="en-US"/>
              </w:rPr>
            </w:pPr>
          </w:p>
        </w:tc>
        <w:tc>
          <w:tcPr>
            <w:tcW w:w="2433"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64" w:type="dxa"/>
            <w:vMerge w:val="continue"/>
          </w:tcPr>
          <w:p>
            <w:pPr>
              <w:autoSpaceDE w:val="0"/>
              <w:autoSpaceDN w:val="0"/>
              <w:rPr>
                <w:color w:val="auto"/>
                <w:highlight w:val="none"/>
                <w:lang w:eastAsia="en-US"/>
              </w:rPr>
            </w:pPr>
          </w:p>
        </w:tc>
        <w:tc>
          <w:tcPr>
            <w:tcW w:w="3827" w:type="dxa"/>
          </w:tcPr>
          <w:p>
            <w:pPr>
              <w:pStyle w:val="7"/>
              <w:autoSpaceDE w:val="0"/>
              <w:autoSpaceDN w:val="0"/>
              <w:spacing w:before="34"/>
              <w:ind w:left="390" w:right="390"/>
              <w:rPr>
                <w:color w:val="auto"/>
                <w:sz w:val="20"/>
                <w:highlight w:val="none"/>
                <w:lang w:eastAsia="en-US"/>
              </w:rPr>
            </w:pPr>
            <w:r>
              <w:rPr>
                <w:color w:val="auto"/>
                <w:sz w:val="20"/>
                <w:highlight w:val="none"/>
                <w:lang w:eastAsia="en-US"/>
              </w:rPr>
              <w:t>科学前沿讲座</w:t>
            </w:r>
          </w:p>
        </w:tc>
        <w:tc>
          <w:tcPr>
            <w:tcW w:w="1304" w:type="dxa"/>
          </w:tcPr>
          <w:p>
            <w:pPr>
              <w:autoSpaceDE w:val="0"/>
              <w:autoSpaceDN w:val="0"/>
              <w:rPr>
                <w:color w:val="auto"/>
                <w:highlight w:val="none"/>
                <w:lang w:eastAsia="en-US"/>
              </w:rPr>
            </w:pPr>
          </w:p>
        </w:tc>
        <w:tc>
          <w:tcPr>
            <w:tcW w:w="2433"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exact"/>
        </w:trPr>
        <w:tc>
          <w:tcPr>
            <w:tcW w:w="2064" w:type="dxa"/>
          </w:tcPr>
          <w:p>
            <w:pPr>
              <w:pStyle w:val="7"/>
              <w:autoSpaceDE w:val="0"/>
              <w:autoSpaceDN w:val="0"/>
              <w:spacing w:before="131"/>
              <w:ind w:left="509" w:right="509"/>
              <w:rPr>
                <w:color w:val="auto"/>
                <w:sz w:val="20"/>
                <w:highlight w:val="none"/>
                <w:lang w:eastAsia="en-US"/>
              </w:rPr>
            </w:pPr>
            <w:r>
              <w:rPr>
                <w:color w:val="auto"/>
                <w:sz w:val="20"/>
                <w:highlight w:val="none"/>
                <w:lang w:eastAsia="en-US"/>
              </w:rPr>
              <w:t>公共选修课</w:t>
            </w:r>
          </w:p>
        </w:tc>
        <w:tc>
          <w:tcPr>
            <w:tcW w:w="3827" w:type="dxa"/>
          </w:tcPr>
          <w:p>
            <w:pPr>
              <w:autoSpaceDE w:val="0"/>
              <w:autoSpaceDN w:val="0"/>
              <w:rPr>
                <w:color w:val="auto"/>
                <w:highlight w:val="none"/>
                <w:lang w:eastAsia="en-US"/>
              </w:rPr>
            </w:pPr>
          </w:p>
        </w:tc>
        <w:tc>
          <w:tcPr>
            <w:tcW w:w="1304" w:type="dxa"/>
          </w:tcPr>
          <w:p>
            <w:pPr>
              <w:autoSpaceDE w:val="0"/>
              <w:autoSpaceDN w:val="0"/>
              <w:rPr>
                <w:color w:val="auto"/>
                <w:highlight w:val="none"/>
                <w:lang w:eastAsia="en-US"/>
              </w:rPr>
            </w:pPr>
          </w:p>
        </w:tc>
        <w:tc>
          <w:tcPr>
            <w:tcW w:w="2433" w:type="dxa"/>
          </w:tcPr>
          <w:p>
            <w:pPr>
              <w:pStyle w:val="7"/>
              <w:autoSpaceDE w:val="0"/>
              <w:autoSpaceDN w:val="0"/>
              <w:spacing w:before="131"/>
              <w:ind w:left="93" w:right="93"/>
              <w:rPr>
                <w:color w:val="auto"/>
                <w:sz w:val="20"/>
                <w:highlight w:val="none"/>
                <w:lang w:eastAsia="zh-CN"/>
              </w:rPr>
            </w:pPr>
            <w:r>
              <w:rPr>
                <w:color w:val="auto"/>
                <w:sz w:val="20"/>
                <w:highlight w:val="none"/>
                <w:lang w:eastAsia="zh-CN"/>
              </w:rPr>
              <w:t>公共选修课不低于</w:t>
            </w:r>
            <w:r>
              <w:rPr>
                <w:color w:val="auto"/>
                <w:spacing w:val="-50"/>
                <w:sz w:val="20"/>
                <w:highlight w:val="none"/>
                <w:lang w:eastAsia="zh-CN"/>
              </w:rPr>
              <w:t xml:space="preserve"> </w:t>
            </w:r>
            <w:r>
              <w:rPr>
                <w:color w:val="auto"/>
                <w:sz w:val="20"/>
                <w:highlight w:val="none"/>
                <w:lang w:eastAsia="zh-CN"/>
              </w:rPr>
              <w:t>2</w:t>
            </w:r>
            <w:r>
              <w:rPr>
                <w:color w:val="auto"/>
                <w:spacing w:val="-50"/>
                <w:sz w:val="20"/>
                <w:highlight w:val="none"/>
                <w:lang w:eastAsia="zh-CN"/>
              </w:rPr>
              <w:t xml:space="preserve"> </w:t>
            </w:r>
            <w:r>
              <w:rPr>
                <w:color w:val="auto"/>
                <w:sz w:val="20"/>
                <w:highlight w:val="none"/>
                <w:lang w:eastAsia="zh-CN"/>
              </w:rPr>
              <w:t>学分</w:t>
            </w:r>
          </w:p>
        </w:tc>
      </w:tr>
    </w:tbl>
    <w:p>
      <w:pPr>
        <w:pStyle w:val="2"/>
        <w:spacing w:before="10"/>
        <w:rPr>
          <w:rFonts w:ascii="黑体"/>
          <w:color w:val="auto"/>
          <w:sz w:val="23"/>
          <w:highlight w:val="none"/>
        </w:rPr>
      </w:pPr>
    </w:p>
    <w:p>
      <w:pPr>
        <w:spacing w:line="420" w:lineRule="exact"/>
        <w:rPr>
          <w:color w:val="auto"/>
          <w:sz w:val="24"/>
          <w:highlight w:val="none"/>
        </w:rPr>
      </w:pPr>
      <w:r>
        <w:rPr>
          <w:rFonts w:hint="eastAsia"/>
          <w:color w:val="auto"/>
          <w:sz w:val="24"/>
          <w:highlight w:val="none"/>
        </w:rPr>
        <w:t>课注：具体课程参考每学期中国科学院大学课程开设表，相关课程体系遵照学校课程设置方案执行，详见附表 1：材料科学与工程学科研究生专业课程设置一览表。</w:t>
      </w:r>
    </w:p>
    <w:p>
      <w:pPr>
        <w:spacing w:line="420" w:lineRule="exact"/>
        <w:rPr>
          <w:color w:val="auto"/>
          <w:sz w:val="24"/>
          <w:highlight w:val="none"/>
        </w:rPr>
      </w:pPr>
    </w:p>
    <w:p>
      <w:pPr>
        <w:spacing w:line="420" w:lineRule="exact"/>
        <w:rPr>
          <w:b/>
          <w:bCs/>
          <w:color w:val="auto"/>
          <w:sz w:val="24"/>
          <w:highlight w:val="none"/>
        </w:rPr>
      </w:pPr>
      <w:r>
        <w:rPr>
          <w:rFonts w:hint="eastAsia"/>
          <w:b/>
          <w:bCs/>
          <w:color w:val="auto"/>
          <w:sz w:val="24"/>
          <w:highlight w:val="none"/>
        </w:rPr>
        <w:t>五、必修环节及要求</w:t>
      </w:r>
    </w:p>
    <w:p>
      <w:pPr>
        <w:spacing w:line="300" w:lineRule="auto"/>
        <w:ind w:right="210" w:firstLine="420"/>
        <w:jc w:val="left"/>
        <w:rPr>
          <w:rFonts w:ascii="宋体" w:hAnsi="宋体"/>
          <w:caps/>
          <w:color w:val="auto"/>
          <w:sz w:val="24"/>
          <w:highlight w:val="none"/>
        </w:rPr>
      </w:pPr>
      <w:r>
        <w:rPr>
          <w:rFonts w:hint="eastAsia" w:ascii="宋体" w:hAnsi="宋体"/>
          <w:caps/>
          <w:color w:val="auto"/>
          <w:sz w:val="24"/>
          <w:highlight w:val="none"/>
        </w:rPr>
        <w:t>硕士研究生培养的必修环节包括开题报告、中期考核、学术报告和社会实践等，必修环节的总学分不低于6学分。</w:t>
      </w:r>
    </w:p>
    <w:p>
      <w:pPr>
        <w:widowControl/>
        <w:snapToGrid w:val="0"/>
        <w:spacing w:line="300" w:lineRule="auto"/>
        <w:ind w:firstLine="482" w:firstLineChars="200"/>
        <w:jc w:val="left"/>
        <w:rPr>
          <w:rFonts w:ascii="宋体" w:hAnsi="宋体"/>
          <w:b/>
          <w:color w:val="auto"/>
          <w:kern w:val="0"/>
          <w:sz w:val="24"/>
          <w:highlight w:val="none"/>
        </w:rPr>
      </w:pPr>
      <w:r>
        <w:rPr>
          <w:rFonts w:hint="eastAsia" w:ascii="宋体" w:hAnsi="宋体"/>
          <w:b/>
          <w:color w:val="auto"/>
          <w:kern w:val="0"/>
          <w:sz w:val="24"/>
          <w:highlight w:val="none"/>
        </w:rPr>
        <w:t>1．开题报告（2学分）</w:t>
      </w:r>
    </w:p>
    <w:p>
      <w:pPr>
        <w:spacing w:line="300" w:lineRule="auto"/>
        <w:ind w:right="210" w:firstLine="480" w:firstLineChars="200"/>
        <w:jc w:val="left"/>
        <w:rPr>
          <w:rFonts w:ascii="宋体" w:hAnsi="宋体"/>
          <w:caps/>
          <w:color w:val="auto"/>
          <w:sz w:val="24"/>
          <w:highlight w:val="none"/>
        </w:rPr>
      </w:pPr>
      <w:r>
        <w:rPr>
          <w:rFonts w:ascii="宋体" w:hAnsi="宋体"/>
          <w:caps/>
          <w:color w:val="auto"/>
          <w:sz w:val="24"/>
          <w:highlight w:val="none"/>
        </w:rPr>
        <w:t>研究生在广泛调查研究、阅读文献资料、搞清楚主攻方向上的前沿成果和发展动态的基础上，</w:t>
      </w:r>
      <w:r>
        <w:rPr>
          <w:rFonts w:hint="eastAsia" w:ascii="宋体" w:hAnsi="宋体"/>
          <w:caps/>
          <w:color w:val="auto"/>
          <w:sz w:val="24"/>
          <w:highlight w:val="none"/>
        </w:rPr>
        <w:t>在征求导师（组）意见后，</w:t>
      </w:r>
      <w:r>
        <w:rPr>
          <w:rFonts w:ascii="宋体" w:hAnsi="宋体"/>
          <w:caps/>
          <w:color w:val="auto"/>
          <w:sz w:val="24"/>
          <w:highlight w:val="none"/>
        </w:rPr>
        <w:t>提出学位论文选题。选题应尽可能对学术发展、经济建设和社会进步有重要意义。研究生应在规定的时间内</w:t>
      </w:r>
      <w:r>
        <w:rPr>
          <w:rFonts w:hint="eastAsia" w:ascii="宋体" w:hAnsi="宋体"/>
          <w:caps/>
          <w:color w:val="auto"/>
          <w:sz w:val="24"/>
          <w:highlight w:val="none"/>
        </w:rPr>
        <w:t>撰写</w:t>
      </w:r>
      <w:r>
        <w:rPr>
          <w:rFonts w:ascii="宋体" w:hAnsi="宋体"/>
          <w:caps/>
          <w:color w:val="auto"/>
          <w:sz w:val="24"/>
          <w:highlight w:val="none"/>
        </w:rPr>
        <w:t>《</w:t>
      </w:r>
      <w:r>
        <w:rPr>
          <w:rFonts w:hint="eastAsia" w:ascii="宋体" w:hAnsi="宋体"/>
          <w:caps/>
          <w:color w:val="auto"/>
          <w:sz w:val="24"/>
          <w:highlight w:val="none"/>
        </w:rPr>
        <w:t>中国科学院大学</w:t>
      </w:r>
      <w:r>
        <w:rPr>
          <w:rFonts w:ascii="宋体" w:hAnsi="宋体"/>
          <w:caps/>
          <w:color w:val="auto"/>
          <w:sz w:val="24"/>
          <w:highlight w:val="none"/>
        </w:rPr>
        <w:t>研究生学位论文开题报告》</w:t>
      </w:r>
      <w:r>
        <w:rPr>
          <w:rFonts w:hint="eastAsia" w:ascii="宋体" w:hAnsi="宋体"/>
          <w:caps/>
          <w:color w:val="auto"/>
          <w:sz w:val="24"/>
          <w:highlight w:val="none"/>
        </w:rPr>
        <w:t>和</w:t>
      </w:r>
      <w:r>
        <w:rPr>
          <w:rFonts w:ascii="宋体" w:hAnsi="宋体"/>
          <w:caps/>
          <w:color w:val="auto"/>
          <w:sz w:val="24"/>
          <w:highlight w:val="none"/>
        </w:rPr>
        <w:t>《</w:t>
      </w:r>
      <w:r>
        <w:rPr>
          <w:rFonts w:hint="eastAsia" w:ascii="宋体" w:hAnsi="宋体"/>
          <w:caps/>
          <w:color w:val="auto"/>
          <w:sz w:val="24"/>
          <w:highlight w:val="none"/>
        </w:rPr>
        <w:t>中国科学院大学</w:t>
      </w:r>
      <w:r>
        <w:rPr>
          <w:rFonts w:ascii="宋体" w:hAnsi="宋体"/>
          <w:caps/>
          <w:color w:val="auto"/>
          <w:sz w:val="24"/>
          <w:highlight w:val="none"/>
        </w:rPr>
        <w:t>研究生学位论文开题报告登记表》，</w:t>
      </w:r>
      <w:r>
        <w:rPr>
          <w:rFonts w:hint="eastAsia" w:ascii="宋体" w:hAnsi="宋体"/>
          <w:caps/>
          <w:color w:val="auto"/>
          <w:sz w:val="24"/>
          <w:highlight w:val="none"/>
        </w:rPr>
        <w:t>开题报告包括</w:t>
      </w:r>
      <w:r>
        <w:rPr>
          <w:rFonts w:ascii="宋体" w:hAnsi="宋体"/>
          <w:caps/>
          <w:color w:val="auto"/>
          <w:sz w:val="24"/>
          <w:highlight w:val="none"/>
        </w:rPr>
        <w:t>选题的背景意义、国内外研究动态及发展趋势、主要研究内容、拟采取的技术路线及研究方法、预期成果、论文工作时间安排等方面。经导师同意后，方可进行开题报告</w:t>
      </w:r>
      <w:r>
        <w:rPr>
          <w:rFonts w:hint="eastAsia" w:ascii="宋体" w:hAnsi="宋体"/>
          <w:caps/>
          <w:color w:val="auto"/>
          <w:sz w:val="24"/>
          <w:highlight w:val="none"/>
        </w:rPr>
        <w:t>。</w:t>
      </w:r>
      <w:r>
        <w:rPr>
          <w:rFonts w:ascii="宋体" w:hAnsi="宋体"/>
          <w:caps/>
          <w:color w:val="auto"/>
          <w:sz w:val="24"/>
          <w:highlight w:val="none"/>
        </w:rPr>
        <w:t>除保密论文外，开题报告应公开进行。硕士研究生开题报告距离申请学位论文答辩的时间一般不少于一年。</w:t>
      </w:r>
    </w:p>
    <w:p>
      <w:pPr>
        <w:widowControl/>
        <w:snapToGrid w:val="0"/>
        <w:spacing w:line="300" w:lineRule="auto"/>
        <w:ind w:firstLine="482" w:firstLineChars="200"/>
        <w:jc w:val="left"/>
        <w:rPr>
          <w:rFonts w:ascii="宋体" w:hAnsi="宋体"/>
          <w:b/>
          <w:color w:val="auto"/>
          <w:kern w:val="0"/>
          <w:sz w:val="24"/>
          <w:highlight w:val="none"/>
        </w:rPr>
      </w:pPr>
      <w:r>
        <w:rPr>
          <w:rFonts w:hint="eastAsia" w:ascii="宋体" w:hAnsi="宋体"/>
          <w:b/>
          <w:color w:val="auto"/>
          <w:kern w:val="0"/>
          <w:sz w:val="24"/>
          <w:highlight w:val="none"/>
        </w:rPr>
        <w:t>2．中期考核（2学分）</w:t>
      </w:r>
    </w:p>
    <w:p>
      <w:pPr>
        <w:widowControl/>
        <w:snapToGrid w:val="0"/>
        <w:spacing w:line="300" w:lineRule="auto"/>
        <w:ind w:firstLine="480" w:firstLineChars="200"/>
        <w:jc w:val="left"/>
        <w:rPr>
          <w:rFonts w:ascii="宋体" w:hAnsi="宋体"/>
          <w:caps/>
          <w:color w:val="auto"/>
          <w:sz w:val="24"/>
          <w:highlight w:val="none"/>
        </w:rPr>
      </w:pPr>
      <w:r>
        <w:rPr>
          <w:rFonts w:ascii="宋体" w:hAnsi="宋体"/>
          <w:caps/>
          <w:color w:val="auto"/>
          <w:sz w:val="24"/>
          <w:highlight w:val="none"/>
        </w:rPr>
        <w:t>中期考核主要考核研究士生在培养期间论文工作进展情况、取得的阶段性成果、存在的主要问题、拟解决的途径、下一步工作计划及论文预计完成时间等。研究生需撰写《</w:t>
      </w:r>
      <w:r>
        <w:rPr>
          <w:rFonts w:hint="eastAsia" w:ascii="宋体" w:hAnsi="宋体"/>
          <w:caps/>
          <w:color w:val="auto"/>
          <w:sz w:val="24"/>
          <w:highlight w:val="none"/>
        </w:rPr>
        <w:t>中国科学院大学</w:t>
      </w:r>
      <w:r>
        <w:rPr>
          <w:rFonts w:ascii="宋体" w:hAnsi="宋体"/>
          <w:caps/>
          <w:color w:val="auto"/>
          <w:sz w:val="24"/>
          <w:highlight w:val="none"/>
        </w:rPr>
        <w:t>研究生学位论文中期报告》</w:t>
      </w:r>
      <w:r>
        <w:rPr>
          <w:rFonts w:hint="eastAsia" w:ascii="宋体" w:hAnsi="宋体"/>
          <w:caps/>
          <w:color w:val="auto"/>
          <w:sz w:val="24"/>
          <w:highlight w:val="none"/>
        </w:rPr>
        <w:t>和</w:t>
      </w:r>
      <w:r>
        <w:rPr>
          <w:rFonts w:ascii="宋体" w:hAnsi="宋体"/>
          <w:caps/>
          <w:color w:val="auto"/>
          <w:sz w:val="24"/>
          <w:highlight w:val="none"/>
        </w:rPr>
        <w:t>《</w:t>
      </w:r>
      <w:r>
        <w:rPr>
          <w:rFonts w:hint="eastAsia" w:ascii="宋体" w:hAnsi="宋体"/>
          <w:caps/>
          <w:color w:val="auto"/>
          <w:sz w:val="24"/>
          <w:highlight w:val="none"/>
        </w:rPr>
        <w:t>中国科学院大学</w:t>
      </w:r>
      <w:r>
        <w:rPr>
          <w:rFonts w:ascii="宋体" w:hAnsi="宋体"/>
          <w:caps/>
          <w:color w:val="auto"/>
          <w:sz w:val="24"/>
          <w:highlight w:val="none"/>
        </w:rPr>
        <w:t>研究生学位论文中期考核登记表》，经导师审核同意后，方可进行中期考核。除保密论文外，中期考核应公开进行。</w:t>
      </w:r>
      <w:r>
        <w:rPr>
          <w:rFonts w:hint="eastAsia" w:ascii="宋体" w:hAnsi="宋体"/>
          <w:caps/>
          <w:color w:val="auto"/>
          <w:sz w:val="24"/>
          <w:highlight w:val="none"/>
        </w:rPr>
        <w:t>硕士研究生中期考核距离申请学位论文答辩的时间一般不得少于半年。</w:t>
      </w:r>
    </w:p>
    <w:p>
      <w:pPr>
        <w:widowControl/>
        <w:snapToGrid w:val="0"/>
        <w:spacing w:line="300" w:lineRule="auto"/>
        <w:ind w:firstLine="482" w:firstLineChars="200"/>
        <w:jc w:val="left"/>
        <w:rPr>
          <w:rFonts w:ascii="宋体" w:hAnsi="宋体"/>
          <w:b/>
          <w:color w:val="auto"/>
          <w:kern w:val="0"/>
          <w:sz w:val="24"/>
          <w:highlight w:val="none"/>
        </w:rPr>
      </w:pPr>
      <w:r>
        <w:rPr>
          <w:rFonts w:hint="eastAsia" w:ascii="宋体" w:hAnsi="宋体"/>
          <w:b/>
          <w:color w:val="auto"/>
          <w:kern w:val="0"/>
          <w:sz w:val="24"/>
          <w:highlight w:val="none"/>
        </w:rPr>
        <w:t>3．学术报告和社会实践（2学分）</w:t>
      </w:r>
    </w:p>
    <w:p>
      <w:pPr>
        <w:widowControl/>
        <w:snapToGrid w:val="0"/>
        <w:spacing w:line="300" w:lineRule="auto"/>
        <w:ind w:firstLine="480" w:firstLineChars="200"/>
        <w:jc w:val="left"/>
        <w:rPr>
          <w:rFonts w:ascii="宋体" w:hAnsi="宋体"/>
          <w:caps/>
          <w:color w:val="auto"/>
          <w:sz w:val="24"/>
          <w:highlight w:val="none"/>
        </w:rPr>
      </w:pPr>
      <w:r>
        <w:rPr>
          <w:rFonts w:ascii="宋体" w:hAnsi="宋体"/>
          <w:caps/>
          <w:color w:val="auto"/>
          <w:sz w:val="24"/>
          <w:highlight w:val="none"/>
        </w:rPr>
        <w:t>为了促使研究生能主动关心和了解国内外本学科前沿的发展动向，开阔视野，启发创造力。要求每个硕士研究生，在学期间应参加</w:t>
      </w:r>
      <w:r>
        <w:rPr>
          <w:rFonts w:hint="eastAsia" w:ascii="宋体" w:hAnsi="宋体"/>
          <w:caps/>
          <w:color w:val="auto"/>
          <w:sz w:val="24"/>
          <w:highlight w:val="none"/>
        </w:rPr>
        <w:t>不少于6次所级的</w:t>
      </w:r>
      <w:r>
        <w:rPr>
          <w:rFonts w:ascii="宋体" w:hAnsi="宋体"/>
          <w:caps/>
          <w:color w:val="auto"/>
          <w:sz w:val="24"/>
          <w:highlight w:val="none"/>
        </w:rPr>
        <w:t>学术报告</w:t>
      </w:r>
      <w:r>
        <w:rPr>
          <w:rFonts w:hint="eastAsia" w:ascii="宋体" w:hAnsi="宋体"/>
          <w:caps/>
          <w:color w:val="auto"/>
          <w:sz w:val="24"/>
          <w:highlight w:val="none"/>
        </w:rPr>
        <w:t>并各组参加</w:t>
      </w:r>
      <w:r>
        <w:rPr>
          <w:rFonts w:ascii="宋体" w:hAnsi="宋体"/>
          <w:caps/>
          <w:color w:val="auto"/>
          <w:sz w:val="24"/>
          <w:highlight w:val="none"/>
        </w:rPr>
        <w:t>社会实践活动。参加学术报告和社会实践的情况均应记录在《</w:t>
      </w:r>
      <w:r>
        <w:rPr>
          <w:rFonts w:hint="eastAsia" w:ascii="宋体" w:hAnsi="宋体"/>
          <w:caps/>
          <w:color w:val="auto"/>
          <w:sz w:val="24"/>
          <w:highlight w:val="none"/>
        </w:rPr>
        <w:t>中国科学院大学</w:t>
      </w:r>
      <w:r>
        <w:rPr>
          <w:rFonts w:ascii="宋体" w:hAnsi="宋体"/>
          <w:caps/>
          <w:color w:val="auto"/>
          <w:sz w:val="24"/>
          <w:highlight w:val="none"/>
        </w:rPr>
        <w:t>研究生学术报告及社会实践</w:t>
      </w:r>
      <w:r>
        <w:rPr>
          <w:rFonts w:hint="eastAsia" w:ascii="宋体" w:hAnsi="宋体"/>
          <w:caps/>
          <w:color w:val="auto"/>
          <w:sz w:val="24"/>
          <w:highlight w:val="none"/>
        </w:rPr>
        <w:t>登记</w:t>
      </w:r>
      <w:r>
        <w:rPr>
          <w:rFonts w:ascii="宋体" w:hAnsi="宋体"/>
          <w:caps/>
          <w:color w:val="auto"/>
          <w:sz w:val="24"/>
          <w:highlight w:val="none"/>
        </w:rPr>
        <w:t>表》中，申请答辩前由导师签字认可后提交研究生</w:t>
      </w:r>
      <w:r>
        <w:rPr>
          <w:rFonts w:hint="eastAsia" w:ascii="宋体" w:hAnsi="宋体"/>
          <w:caps/>
          <w:color w:val="auto"/>
          <w:sz w:val="24"/>
          <w:highlight w:val="none"/>
        </w:rPr>
        <w:t>管理部门</w:t>
      </w:r>
      <w:r>
        <w:rPr>
          <w:rFonts w:ascii="宋体" w:hAnsi="宋体"/>
          <w:caps/>
          <w:color w:val="auto"/>
          <w:sz w:val="24"/>
          <w:highlight w:val="none"/>
        </w:rPr>
        <w:t>备案。</w:t>
      </w:r>
    </w:p>
    <w:p>
      <w:pPr>
        <w:widowControl/>
        <w:snapToGrid w:val="0"/>
        <w:spacing w:line="300" w:lineRule="auto"/>
        <w:ind w:firstLine="480" w:firstLineChars="200"/>
        <w:jc w:val="left"/>
        <w:rPr>
          <w:rFonts w:ascii="宋体" w:hAnsi="宋体"/>
          <w:caps/>
          <w:color w:val="auto"/>
          <w:sz w:val="24"/>
          <w:highlight w:val="none"/>
        </w:rPr>
      </w:pPr>
      <w:r>
        <w:rPr>
          <w:rFonts w:hint="eastAsia" w:ascii="宋体" w:hAnsi="宋体"/>
          <w:caps/>
          <w:color w:val="auto"/>
          <w:sz w:val="24"/>
          <w:highlight w:val="none"/>
        </w:rPr>
        <w:t>研究生应积极参加社会和科研实践，包括完成科研课题任务、参加志愿者服务以及单位组织的其他公益和社会实践活动。</w:t>
      </w:r>
    </w:p>
    <w:p>
      <w:pPr>
        <w:spacing w:line="420" w:lineRule="exact"/>
        <w:rPr>
          <w:color w:val="auto"/>
          <w:sz w:val="24"/>
          <w:highlight w:val="none"/>
        </w:rPr>
      </w:pPr>
    </w:p>
    <w:p>
      <w:pPr>
        <w:spacing w:line="420" w:lineRule="exact"/>
        <w:rPr>
          <w:b/>
          <w:bCs/>
          <w:color w:val="auto"/>
          <w:sz w:val="24"/>
          <w:highlight w:val="none"/>
        </w:rPr>
      </w:pPr>
      <w:r>
        <w:rPr>
          <w:rFonts w:hint="eastAsia"/>
          <w:b/>
          <w:bCs/>
          <w:color w:val="auto"/>
          <w:sz w:val="24"/>
          <w:highlight w:val="none"/>
        </w:rPr>
        <w:t>六、科研能力与水平及学位论文的基本要求</w:t>
      </w:r>
    </w:p>
    <w:p>
      <w:pPr>
        <w:spacing w:line="420" w:lineRule="exact"/>
        <w:rPr>
          <w:color w:val="auto"/>
          <w:sz w:val="24"/>
          <w:highlight w:val="none"/>
        </w:rPr>
      </w:pPr>
      <w:r>
        <w:rPr>
          <w:rFonts w:hint="eastAsia"/>
          <w:color w:val="auto"/>
          <w:sz w:val="24"/>
          <w:highlight w:val="none"/>
        </w:rPr>
        <w:t>见本学科硕士学位基本要求。</w:t>
      </w:r>
    </w:p>
    <w:p>
      <w:pPr>
        <w:spacing w:line="420" w:lineRule="exact"/>
        <w:rPr>
          <w:color w:val="auto"/>
          <w:sz w:val="24"/>
          <w:highlight w:val="none"/>
        </w:rPr>
      </w:pPr>
    </w:p>
    <w:p>
      <w:pPr>
        <w:spacing w:line="420" w:lineRule="exact"/>
        <w:rPr>
          <w:color w:val="auto"/>
          <w:sz w:val="24"/>
          <w:highlight w:val="none"/>
        </w:rPr>
      </w:pPr>
    </w:p>
    <w:p>
      <w:pPr>
        <w:pStyle w:val="9"/>
        <w:snapToGrid w:val="0"/>
        <w:spacing w:before="240" w:beforeLines="100" w:after="120" w:afterLines="50" w:line="300" w:lineRule="auto"/>
        <w:ind w:firstLine="0" w:firstLineChars="0"/>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第三部分 博士研究生培养方案</w:t>
      </w:r>
    </w:p>
    <w:p>
      <w:pPr>
        <w:spacing w:line="420" w:lineRule="exact"/>
        <w:rPr>
          <w:color w:val="auto"/>
          <w:sz w:val="24"/>
          <w:highlight w:val="none"/>
        </w:rPr>
      </w:pPr>
    </w:p>
    <w:p>
      <w:pPr>
        <w:spacing w:line="420" w:lineRule="exact"/>
        <w:rPr>
          <w:b/>
          <w:bCs/>
          <w:color w:val="auto"/>
          <w:sz w:val="24"/>
          <w:highlight w:val="none"/>
        </w:rPr>
      </w:pPr>
      <w:r>
        <w:rPr>
          <w:rFonts w:hint="eastAsia"/>
          <w:b/>
          <w:bCs/>
          <w:color w:val="auto"/>
          <w:sz w:val="24"/>
          <w:highlight w:val="none"/>
        </w:rPr>
        <w:t>一、培养目标</w:t>
      </w:r>
    </w:p>
    <w:p>
      <w:pPr>
        <w:spacing w:line="420" w:lineRule="exact"/>
        <w:ind w:firstLine="480" w:firstLineChars="200"/>
        <w:rPr>
          <w:color w:val="auto"/>
          <w:sz w:val="24"/>
          <w:highlight w:val="none"/>
        </w:rPr>
      </w:pPr>
      <w:r>
        <w:rPr>
          <w:rFonts w:hint="eastAsia"/>
          <w:color w:val="auto"/>
          <w:sz w:val="24"/>
          <w:highlight w:val="none"/>
        </w:rPr>
        <w:t>研究生的培养要面向社会需求和科技前沿，贯彻德、智、体、美、劳全面发展的方针，特别要注重综合素质和创新能力的培养。具体培养要求如下：</w:t>
      </w:r>
    </w:p>
    <w:p>
      <w:pPr>
        <w:spacing w:line="420" w:lineRule="exact"/>
        <w:rPr>
          <w:color w:val="auto"/>
          <w:sz w:val="24"/>
          <w:highlight w:val="none"/>
        </w:rPr>
      </w:pPr>
      <w:r>
        <w:rPr>
          <w:rFonts w:hint="eastAsia"/>
          <w:color w:val="auto"/>
          <w:sz w:val="24"/>
          <w:highlight w:val="none"/>
        </w:rPr>
        <w:t>1.应较好地掌握马克思主义、毛泽东思想和邓小平理论；拥护党的基本路线和方针、政策；热爱祖国，遵纪守法，具有良好的科研道德和为科学献身的精神，积极为我国经济建设和社会发展服务。</w:t>
      </w:r>
    </w:p>
    <w:p>
      <w:pPr>
        <w:spacing w:line="420" w:lineRule="exact"/>
        <w:rPr>
          <w:color w:val="auto"/>
          <w:sz w:val="24"/>
          <w:highlight w:val="none"/>
        </w:rPr>
      </w:pPr>
      <w:r>
        <w:rPr>
          <w:rFonts w:hint="eastAsia"/>
          <w:color w:val="auto"/>
          <w:sz w:val="24"/>
          <w:highlight w:val="none"/>
        </w:rPr>
        <w:t>2.具有优良的学术素养，在材料科学与工程方面具有坚实宽广的理论基础和系统深入的专门知识，全面而深入地了解学科的进展、动向和最新发展前沿；注重材料的成分和结构、制备和加工、性能与服役性能之间的内在联系及基本规律的研究；掌握相关的先进工艺、装备、测试评价技术；具有独立从事科学研究的能力，并在本学科领域取得理论或实践上的创造性研究成果。</w:t>
      </w:r>
    </w:p>
    <w:p>
      <w:pPr>
        <w:spacing w:line="420" w:lineRule="exact"/>
        <w:rPr>
          <w:color w:val="auto"/>
          <w:sz w:val="24"/>
          <w:highlight w:val="none"/>
        </w:rPr>
      </w:pPr>
      <w:r>
        <w:rPr>
          <w:rFonts w:hint="eastAsia"/>
          <w:color w:val="auto"/>
          <w:sz w:val="24"/>
          <w:highlight w:val="none"/>
        </w:rPr>
        <w:t>3.至少熟练掌握一门外国语，能够熟练地阅读专业领域的外文资料，具有进行学术写作和学术交流的能力。</w:t>
      </w:r>
    </w:p>
    <w:p>
      <w:pPr>
        <w:spacing w:line="420" w:lineRule="exact"/>
        <w:rPr>
          <w:color w:val="auto"/>
          <w:sz w:val="24"/>
          <w:highlight w:val="none"/>
        </w:rPr>
      </w:pPr>
      <w:r>
        <w:rPr>
          <w:rFonts w:hint="eastAsia"/>
          <w:color w:val="auto"/>
          <w:sz w:val="24"/>
          <w:highlight w:val="none"/>
        </w:rPr>
        <w:t>4.在高教领域、科研领域、相关社会行业中，能够胜任教学、科研、工程技术实施或科技管理等工作。</w:t>
      </w:r>
    </w:p>
    <w:p>
      <w:pPr>
        <w:spacing w:line="420" w:lineRule="exact"/>
        <w:rPr>
          <w:color w:val="auto"/>
          <w:sz w:val="24"/>
          <w:highlight w:val="none"/>
        </w:rPr>
      </w:pPr>
      <w:r>
        <w:rPr>
          <w:rFonts w:hint="eastAsia"/>
          <w:color w:val="auto"/>
          <w:sz w:val="24"/>
          <w:highlight w:val="none"/>
        </w:rPr>
        <w:t>5.具有健康的体魄、良好的心理素质和健全的人格，具有良好的生活习惯和健康的生活方式。</w:t>
      </w:r>
    </w:p>
    <w:p>
      <w:pPr>
        <w:spacing w:line="420" w:lineRule="exact"/>
        <w:rPr>
          <w:color w:val="auto"/>
          <w:sz w:val="24"/>
          <w:highlight w:val="none"/>
        </w:rPr>
      </w:pPr>
    </w:p>
    <w:p>
      <w:pPr>
        <w:spacing w:line="420" w:lineRule="exact"/>
        <w:rPr>
          <w:b/>
          <w:bCs/>
          <w:color w:val="auto"/>
          <w:sz w:val="24"/>
          <w:highlight w:val="none"/>
        </w:rPr>
      </w:pPr>
      <w:r>
        <w:rPr>
          <w:rFonts w:hint="eastAsia"/>
          <w:b/>
          <w:bCs/>
          <w:color w:val="auto"/>
          <w:sz w:val="24"/>
          <w:highlight w:val="none"/>
        </w:rPr>
        <w:t>二、学科专业及研究方向</w:t>
      </w:r>
    </w:p>
    <w:p>
      <w:pPr>
        <w:spacing w:line="420" w:lineRule="exact"/>
        <w:rPr>
          <w:rFonts w:ascii="Times New Roman"/>
          <w:color w:val="auto"/>
          <w:sz w:val="24"/>
          <w:highlight w:val="none"/>
        </w:rPr>
      </w:pPr>
      <w:r>
        <w:rPr>
          <w:rFonts w:hint="eastAsia"/>
          <w:color w:val="auto"/>
          <w:sz w:val="24"/>
          <w:highlight w:val="none"/>
        </w:rPr>
        <w:t>1.</w:t>
      </w:r>
      <w:r>
        <w:rPr>
          <w:rFonts w:ascii="Times New Roman" w:hAnsi="Times New Roman" w:cs="Times New Roman"/>
          <w:b/>
          <w:bCs/>
          <w:color w:val="auto"/>
          <w:sz w:val="24"/>
          <w:highlight w:val="none"/>
        </w:rPr>
        <w:t>光电功能材料</w:t>
      </w:r>
      <w:r>
        <w:rPr>
          <w:rFonts w:hint="eastAsia" w:ascii="Times New Roman" w:hAnsi="Times New Roman" w:cs="Times New Roman"/>
          <w:b/>
          <w:bCs/>
          <w:color w:val="auto"/>
          <w:sz w:val="24"/>
          <w:highlight w:val="none"/>
        </w:rPr>
        <w:t>方向：</w:t>
      </w:r>
      <w:r>
        <w:rPr>
          <w:rFonts w:hint="eastAsia" w:ascii="Times New Roman"/>
          <w:color w:val="auto"/>
          <w:sz w:val="24"/>
          <w:highlight w:val="none"/>
        </w:rPr>
        <w:t>面向世界科技前沿和全固态激光技术的应用发展需求，开展新型光电功能晶体材料的设计模拟、晶体生长、性能测试及应用评估等应用基础研究。</w:t>
      </w:r>
    </w:p>
    <w:p>
      <w:pPr>
        <w:spacing w:line="420" w:lineRule="exact"/>
        <w:rPr>
          <w:rFonts w:ascii="Times New Roman" w:hAnsi="Times New Roman" w:cs="Times New Roman"/>
          <w:color w:val="auto"/>
          <w:sz w:val="24"/>
          <w:highlight w:val="none"/>
        </w:rPr>
      </w:pPr>
      <w:r>
        <w:rPr>
          <w:rFonts w:hint="eastAsia" w:ascii="Times New Roman" w:hAnsi="Times New Roman" w:cs="Times New Roman"/>
          <w:b/>
          <w:bCs/>
          <w:color w:val="auto"/>
          <w:sz w:val="24"/>
          <w:highlight w:val="none"/>
        </w:rPr>
        <w:t>敏感材料与器件方向：</w:t>
      </w:r>
      <w:r>
        <w:rPr>
          <w:rFonts w:hint="eastAsia" w:ascii="Times New Roman" w:hAnsi="Times New Roman" w:cs="Times New Roman"/>
          <w:color w:val="auto"/>
          <w:sz w:val="24"/>
          <w:highlight w:val="none"/>
        </w:rPr>
        <w:t>针对航天、海洋、航空及汽车工业关键部件对高温真空、高温测控、低温、压力等条件下的温度测控的应用需求，开展极端环境多晶热敏材料设计合成、离子导电机制基础研究及元器件关键技术攻关研究。</w:t>
      </w:r>
    </w:p>
    <w:p>
      <w:pPr>
        <w:spacing w:line="420" w:lineRule="exact"/>
        <w:rPr>
          <w:rFonts w:ascii="Times New Roman"/>
          <w:color w:val="auto"/>
          <w:sz w:val="24"/>
          <w:highlight w:val="none"/>
        </w:rPr>
      </w:pPr>
      <w:r>
        <w:rPr>
          <w:rFonts w:hint="eastAsia" w:ascii="Times New Roman" w:hAnsi="Times New Roman" w:cs="Times New Roman"/>
          <w:b/>
          <w:bCs/>
          <w:color w:val="auto"/>
          <w:sz w:val="24"/>
          <w:highlight w:val="none"/>
        </w:rPr>
        <w:t>爆炸物检测识别方向</w:t>
      </w:r>
      <w:r>
        <w:rPr>
          <w:rFonts w:hint="eastAsia" w:ascii="宋体" w:hAnsi="宋体" w:cs="Times New Roman"/>
          <w:b/>
          <w:bCs/>
          <w:color w:val="auto"/>
          <w:kern w:val="0"/>
          <w:sz w:val="24"/>
          <w:highlight w:val="none"/>
        </w:rPr>
        <w:t>：</w:t>
      </w:r>
      <w:r>
        <w:rPr>
          <w:rFonts w:hint="eastAsia" w:ascii="Times New Roman"/>
          <w:color w:val="auto"/>
          <w:sz w:val="24"/>
          <w:highlight w:val="none"/>
        </w:rPr>
        <w:t>面向世界公共安全领域痕量危险化学品检测的实际需求，开展痕量危险化学品传感原理探究、材料设计、阵列制备及装备研制等应用基础研究。</w:t>
      </w:r>
    </w:p>
    <w:p>
      <w:pPr>
        <w:spacing w:line="420" w:lineRule="exact"/>
        <w:rPr>
          <w:rFonts w:ascii="Times New Roman"/>
          <w:color w:val="auto"/>
          <w:sz w:val="24"/>
          <w:highlight w:val="none"/>
        </w:rPr>
      </w:pPr>
      <w:r>
        <w:rPr>
          <w:rFonts w:hint="eastAsia" w:ascii="Times New Roman"/>
          <w:b/>
          <w:bCs/>
          <w:color w:val="auto"/>
          <w:sz w:val="24"/>
          <w:highlight w:val="none"/>
        </w:rPr>
        <w:t>分离材料与技术方向：</w:t>
      </w:r>
      <w:r>
        <w:rPr>
          <w:rFonts w:hint="eastAsia" w:ascii="Times New Roman"/>
          <w:color w:val="auto"/>
          <w:sz w:val="24"/>
          <w:highlight w:val="none"/>
        </w:rPr>
        <w:t>面向区域经济发展以及空间、环境、能源等领域对高性能分离材料的迫切需求，强化分离材料与技术的学科建设，开展纤维表面功能化、液-液分离材料的制备、污染控制过程中分离物与分离材料的界面作用机制等核心基础原理和关键技术的研究。</w:t>
      </w:r>
    </w:p>
    <w:p>
      <w:pPr>
        <w:spacing w:line="420" w:lineRule="exact"/>
        <w:rPr>
          <w:rFonts w:ascii="Times New Roman"/>
          <w:color w:val="auto"/>
          <w:szCs w:val="21"/>
          <w:highlight w:val="none"/>
        </w:rPr>
      </w:pPr>
    </w:p>
    <w:p>
      <w:pPr>
        <w:spacing w:line="420" w:lineRule="exact"/>
        <w:rPr>
          <w:rFonts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三、培养方式及学习年限</w:t>
      </w:r>
    </w:p>
    <w:p>
      <w:pPr>
        <w:spacing w:line="420" w:lineRule="exact"/>
        <w:ind w:firstLine="480" w:firstLineChars="200"/>
        <w:rPr>
          <w:color w:val="auto"/>
          <w:sz w:val="24"/>
          <w:highlight w:val="none"/>
        </w:rPr>
      </w:pPr>
      <w:r>
        <w:rPr>
          <w:rFonts w:hint="eastAsia"/>
          <w:color w:val="auto"/>
          <w:sz w:val="24"/>
          <w:highlight w:val="none"/>
        </w:rPr>
        <w:t>博士研究生按照招考方式，分为公开招考、硕博连读和直接攻博等三种招收方式。博士研究生培养过程实行学分制管理。研究生获得学位所需学分，由课程学习学分和必修环节学分两部分组成。</w:t>
      </w:r>
    </w:p>
    <w:p>
      <w:pPr>
        <w:spacing w:line="420" w:lineRule="exact"/>
        <w:ind w:firstLine="480" w:firstLineChars="200"/>
        <w:rPr>
          <w:color w:val="auto"/>
          <w:sz w:val="24"/>
          <w:highlight w:val="none"/>
        </w:rPr>
      </w:pPr>
      <w:r>
        <w:rPr>
          <w:rFonts w:hint="eastAsia"/>
          <w:color w:val="auto"/>
          <w:sz w:val="24"/>
          <w:highlight w:val="none"/>
        </w:rPr>
        <w:t>博士学位研究生培养倡导实行导师负责和集体培养相结合的办法。导师作为第一责任人，要坚持“立德树人”为教育的根本任务，加强研究生思想政治工作。对从事交叉学科研究的博士生，应成立有相关学科导师参加的指导小组，且博士学位论文开题和中期考核小组、以及答辩委员会组成，应聘请相关学科的联合指导教师，同时要求成员相对稳定。根据本培养方案的要求，导师或导师小组负责拟订培养计划，并在严谨治学、学术道德、团结协作、学位论文质量等方面进行严格要求。导师或导师小组应全面落实导师责任制，除负责指导研究生科研工作外，还应对研究生进行思想政治教育、科研安全教育、心理健康教育和职业规划进行指导，并配合、协助研究生教育管理部门做好研究生的各项管理工作。</w:t>
      </w:r>
    </w:p>
    <w:p>
      <w:pPr>
        <w:spacing w:line="420" w:lineRule="exact"/>
        <w:ind w:firstLine="480" w:firstLineChars="200"/>
        <w:rPr>
          <w:color w:val="auto"/>
          <w:sz w:val="24"/>
          <w:highlight w:val="none"/>
        </w:rPr>
      </w:pPr>
      <w:r>
        <w:rPr>
          <w:rFonts w:hint="eastAsia"/>
          <w:color w:val="auto"/>
          <w:sz w:val="24"/>
          <w:highlight w:val="none"/>
        </w:rPr>
        <w:t>博士研究生的学习实行弹性学制。博士生基本学制一般为 3 年，最长修读年限（含休学）不得超过 6 年；通过硕博连读方式招收的博士生，包括硕士阶段在内最长修读年限（含休学）不得超过 8 年；通过直接攻博方式招收的博士生，基本学制一般为 5 年，最长修读年限（含休学）不得超过 8 年。</w:t>
      </w:r>
    </w:p>
    <w:p>
      <w:pPr>
        <w:spacing w:line="420" w:lineRule="exact"/>
        <w:ind w:firstLine="482" w:firstLineChars="200"/>
        <w:rPr>
          <w:b/>
          <w:bCs/>
          <w:color w:val="auto"/>
          <w:sz w:val="24"/>
          <w:highlight w:val="none"/>
        </w:rPr>
      </w:pPr>
    </w:p>
    <w:p>
      <w:pPr>
        <w:spacing w:line="420" w:lineRule="exact"/>
        <w:ind w:firstLine="482" w:firstLineChars="200"/>
        <w:rPr>
          <w:b/>
          <w:bCs/>
          <w:color w:val="auto"/>
          <w:sz w:val="24"/>
          <w:highlight w:val="none"/>
        </w:rPr>
      </w:pPr>
      <w:r>
        <w:rPr>
          <w:rFonts w:hint="eastAsia"/>
          <w:b/>
          <w:bCs/>
          <w:color w:val="auto"/>
          <w:sz w:val="24"/>
          <w:highlight w:val="none"/>
        </w:rPr>
        <w:t>四、课程体系与学分要求</w:t>
      </w:r>
    </w:p>
    <w:p>
      <w:pPr>
        <w:spacing w:line="420" w:lineRule="exact"/>
        <w:ind w:firstLine="480" w:firstLineChars="200"/>
        <w:rPr>
          <w:color w:val="auto"/>
          <w:sz w:val="24"/>
          <w:highlight w:val="none"/>
        </w:rPr>
      </w:pPr>
      <w:r>
        <w:rPr>
          <w:rFonts w:hint="eastAsia"/>
          <w:color w:val="auto"/>
          <w:sz w:val="24"/>
          <w:highlight w:val="none"/>
        </w:rPr>
        <w:t>本学科硕博连读研究生、直接攻博研究生课程体系包括学位课和非学位课，学位课是为达到培养目标要求，保证研究生培养质量而必须学习的课程，分为公共学位课和专业学位课两类。其中，公共学位课包括政治理论课程、学术道德与学术写作规范课程和外国语课程；专业学位课包括学科基础课、专业基础课和专业课等。非学位课是为拓宽研究生知识面、完善知识结构或加深某方面知识、提升科学和人文素养而开设的课程，包括公共选修课和专业选修课（从核心课、普及课、研讨课、科学前沿讲座等课程中选修）。</w:t>
      </w:r>
    </w:p>
    <w:p>
      <w:pPr>
        <w:spacing w:line="420" w:lineRule="exact"/>
        <w:ind w:firstLine="480" w:firstLineChars="200"/>
        <w:rPr>
          <w:color w:val="auto"/>
          <w:sz w:val="24"/>
          <w:highlight w:val="none"/>
        </w:rPr>
      </w:pPr>
      <w:r>
        <w:rPr>
          <w:rFonts w:hint="eastAsia"/>
          <w:color w:val="auto"/>
          <w:sz w:val="24"/>
          <w:highlight w:val="none"/>
        </w:rPr>
        <w:t>硕博连读研究生、直接攻博研究生在申请博士学位前，课程学习总学分不低于 38 学分，其中学位课学分不低于 27 学分，即：公共学位课 11 学分，包括政治理论课程、学术道德与学术写作规范课程和外国语类课程；专业学位课不低于 16 学分。</w:t>
      </w:r>
    </w:p>
    <w:p>
      <w:pPr>
        <w:spacing w:line="420" w:lineRule="exact"/>
        <w:ind w:firstLine="482" w:firstLineChars="200"/>
        <w:rPr>
          <w:b/>
          <w:bCs/>
          <w:color w:val="auto"/>
          <w:sz w:val="24"/>
          <w:highlight w:val="none"/>
        </w:rPr>
      </w:pPr>
      <w:r>
        <w:rPr>
          <w:rFonts w:hint="eastAsia"/>
          <w:b/>
          <w:bCs/>
          <w:color w:val="auto"/>
          <w:sz w:val="24"/>
          <w:highlight w:val="none"/>
        </w:rPr>
        <w:t>课程设置：</w:t>
      </w:r>
    </w:p>
    <w:p>
      <w:pPr>
        <w:spacing w:line="420" w:lineRule="exact"/>
        <w:rPr>
          <w:color w:val="auto"/>
          <w:sz w:val="24"/>
          <w:highlight w:val="none"/>
        </w:rPr>
      </w:pPr>
      <w:r>
        <w:rPr>
          <w:rFonts w:hint="eastAsia"/>
          <w:color w:val="auto"/>
          <w:sz w:val="24"/>
          <w:highlight w:val="none"/>
        </w:rPr>
        <w:t>1.学科基础课（核心课）</w:t>
      </w:r>
    </w:p>
    <w:p>
      <w:pPr>
        <w:spacing w:line="420" w:lineRule="exact"/>
        <w:rPr>
          <w:color w:val="auto"/>
          <w:sz w:val="24"/>
          <w:highlight w:val="none"/>
        </w:rPr>
      </w:pPr>
      <w:r>
        <w:rPr>
          <w:rFonts w:hint="eastAsia"/>
          <w:color w:val="auto"/>
          <w:sz w:val="24"/>
          <w:highlight w:val="none"/>
        </w:rPr>
        <w:t>材料化学</w:t>
      </w:r>
      <w:r>
        <w:rPr>
          <w:rFonts w:hint="eastAsia"/>
          <w:color w:val="auto"/>
          <w:sz w:val="24"/>
          <w:highlight w:val="none"/>
        </w:rPr>
        <w:tab/>
      </w:r>
    </w:p>
    <w:p>
      <w:pPr>
        <w:spacing w:line="420" w:lineRule="exact"/>
        <w:rPr>
          <w:color w:val="auto"/>
          <w:sz w:val="24"/>
          <w:highlight w:val="none"/>
        </w:rPr>
      </w:pPr>
      <w:r>
        <w:rPr>
          <w:rFonts w:hint="eastAsia"/>
          <w:color w:val="auto"/>
          <w:sz w:val="24"/>
          <w:highlight w:val="none"/>
        </w:rPr>
        <w:t>量子力学和统计物理</w:t>
      </w:r>
    </w:p>
    <w:p>
      <w:pPr>
        <w:spacing w:line="420" w:lineRule="exact"/>
        <w:rPr>
          <w:color w:val="auto"/>
          <w:sz w:val="24"/>
          <w:highlight w:val="none"/>
        </w:rPr>
      </w:pPr>
      <w:r>
        <w:rPr>
          <w:rFonts w:hint="eastAsia"/>
          <w:color w:val="auto"/>
          <w:sz w:val="24"/>
          <w:highlight w:val="none"/>
        </w:rPr>
        <w:t>材料结构分析方法</w:t>
      </w:r>
      <w:r>
        <w:rPr>
          <w:rFonts w:hint="eastAsia"/>
          <w:color w:val="auto"/>
          <w:sz w:val="24"/>
          <w:highlight w:val="none"/>
        </w:rPr>
        <w:tab/>
      </w:r>
    </w:p>
    <w:p>
      <w:pPr>
        <w:spacing w:line="420" w:lineRule="exact"/>
        <w:rPr>
          <w:color w:val="auto"/>
          <w:sz w:val="24"/>
          <w:highlight w:val="none"/>
        </w:rPr>
      </w:pPr>
      <w:r>
        <w:rPr>
          <w:rFonts w:hint="eastAsia"/>
          <w:color w:val="auto"/>
          <w:sz w:val="24"/>
          <w:highlight w:val="none"/>
        </w:rPr>
        <w:t>晶体学中的对称群</w:t>
      </w:r>
    </w:p>
    <w:p>
      <w:pPr>
        <w:spacing w:line="420" w:lineRule="exact"/>
        <w:rPr>
          <w:color w:val="auto"/>
          <w:sz w:val="24"/>
          <w:highlight w:val="none"/>
        </w:rPr>
      </w:pPr>
      <w:r>
        <w:rPr>
          <w:rFonts w:hint="eastAsia"/>
          <w:color w:val="auto"/>
          <w:sz w:val="24"/>
          <w:highlight w:val="none"/>
        </w:rPr>
        <w:t>材料谱学分析方法</w:t>
      </w:r>
      <w:r>
        <w:rPr>
          <w:rFonts w:hint="eastAsia"/>
          <w:color w:val="auto"/>
          <w:sz w:val="24"/>
          <w:highlight w:val="none"/>
        </w:rPr>
        <w:tab/>
      </w:r>
      <w:r>
        <w:rPr>
          <w:rFonts w:hint="eastAsia"/>
          <w:color w:val="auto"/>
          <w:sz w:val="24"/>
          <w:highlight w:val="none"/>
        </w:rPr>
        <w:t xml:space="preserve"> </w:t>
      </w:r>
    </w:p>
    <w:p>
      <w:pPr>
        <w:spacing w:line="420" w:lineRule="exact"/>
        <w:rPr>
          <w:color w:val="auto"/>
          <w:sz w:val="24"/>
          <w:highlight w:val="none"/>
        </w:rPr>
      </w:pPr>
      <w:r>
        <w:rPr>
          <w:rFonts w:hint="eastAsia"/>
          <w:color w:val="auto"/>
          <w:sz w:val="24"/>
          <w:highlight w:val="none"/>
        </w:rPr>
        <w:t>相图和相结构高等量子力学</w:t>
      </w:r>
      <w:r>
        <w:rPr>
          <w:rFonts w:hint="eastAsia"/>
          <w:color w:val="auto"/>
          <w:sz w:val="24"/>
          <w:highlight w:val="none"/>
        </w:rPr>
        <w:tab/>
      </w:r>
      <w:r>
        <w:rPr>
          <w:rFonts w:hint="eastAsia"/>
          <w:color w:val="auto"/>
          <w:sz w:val="24"/>
          <w:highlight w:val="none"/>
        </w:rPr>
        <w:t xml:space="preserve"> </w:t>
      </w:r>
    </w:p>
    <w:p>
      <w:pPr>
        <w:spacing w:line="420" w:lineRule="exact"/>
        <w:rPr>
          <w:color w:val="auto"/>
          <w:sz w:val="24"/>
          <w:highlight w:val="none"/>
        </w:rPr>
      </w:pPr>
      <w:r>
        <w:rPr>
          <w:rFonts w:hint="eastAsia"/>
          <w:color w:val="auto"/>
          <w:sz w:val="24"/>
          <w:highlight w:val="none"/>
        </w:rPr>
        <w:t>材料热力学和动力学数值分析</w:t>
      </w:r>
      <w:r>
        <w:rPr>
          <w:rFonts w:hint="eastAsia"/>
          <w:color w:val="auto"/>
          <w:sz w:val="24"/>
          <w:highlight w:val="none"/>
        </w:rPr>
        <w:tab/>
      </w:r>
      <w:r>
        <w:rPr>
          <w:rFonts w:hint="eastAsia"/>
          <w:color w:val="auto"/>
          <w:sz w:val="24"/>
          <w:highlight w:val="none"/>
        </w:rPr>
        <w:t xml:space="preserve"> </w:t>
      </w:r>
    </w:p>
    <w:p>
      <w:pPr>
        <w:spacing w:line="420" w:lineRule="exact"/>
        <w:rPr>
          <w:color w:val="auto"/>
          <w:sz w:val="24"/>
          <w:highlight w:val="none"/>
        </w:rPr>
      </w:pPr>
      <w:r>
        <w:rPr>
          <w:rFonts w:hint="eastAsia"/>
          <w:color w:val="auto"/>
          <w:sz w:val="24"/>
          <w:highlight w:val="none"/>
        </w:rPr>
        <w:t>固体物理基础</w:t>
      </w:r>
    </w:p>
    <w:p>
      <w:pPr>
        <w:spacing w:line="420" w:lineRule="exact"/>
        <w:rPr>
          <w:color w:val="auto"/>
          <w:sz w:val="24"/>
          <w:highlight w:val="none"/>
        </w:rPr>
      </w:pPr>
      <w:r>
        <w:rPr>
          <w:rFonts w:hint="eastAsia"/>
          <w:color w:val="auto"/>
          <w:sz w:val="24"/>
          <w:highlight w:val="none"/>
        </w:rPr>
        <w:t>材料物理中的常用数学方法</w:t>
      </w:r>
      <w:r>
        <w:rPr>
          <w:rFonts w:hint="eastAsia"/>
          <w:color w:val="auto"/>
          <w:sz w:val="24"/>
          <w:highlight w:val="none"/>
        </w:rPr>
        <w:tab/>
      </w:r>
      <w:r>
        <w:rPr>
          <w:rFonts w:hint="eastAsia"/>
          <w:color w:val="auto"/>
          <w:sz w:val="24"/>
          <w:highlight w:val="none"/>
        </w:rPr>
        <w:t xml:space="preserve"> </w:t>
      </w:r>
    </w:p>
    <w:p>
      <w:pPr>
        <w:spacing w:line="420" w:lineRule="exact"/>
        <w:rPr>
          <w:color w:val="auto"/>
          <w:sz w:val="24"/>
          <w:highlight w:val="none"/>
        </w:rPr>
      </w:pPr>
      <w:r>
        <w:rPr>
          <w:rFonts w:hint="eastAsia"/>
          <w:color w:val="auto"/>
          <w:sz w:val="24"/>
          <w:highlight w:val="none"/>
        </w:rPr>
        <w:t>固体力学导论高等固体物理</w:t>
      </w:r>
      <w:r>
        <w:rPr>
          <w:rFonts w:hint="eastAsia"/>
          <w:color w:val="auto"/>
          <w:sz w:val="24"/>
          <w:highlight w:val="none"/>
        </w:rPr>
        <w:tab/>
      </w:r>
      <w:r>
        <w:rPr>
          <w:rFonts w:hint="eastAsia"/>
          <w:color w:val="auto"/>
          <w:sz w:val="24"/>
          <w:highlight w:val="none"/>
        </w:rPr>
        <w:t>量子结构材料</w:t>
      </w:r>
    </w:p>
    <w:p>
      <w:pPr>
        <w:spacing w:line="420" w:lineRule="exact"/>
        <w:rPr>
          <w:color w:val="auto"/>
          <w:sz w:val="24"/>
          <w:highlight w:val="none"/>
        </w:rPr>
      </w:pPr>
      <w:r>
        <w:rPr>
          <w:rFonts w:hint="eastAsia"/>
          <w:color w:val="auto"/>
          <w:sz w:val="24"/>
          <w:highlight w:val="none"/>
        </w:rPr>
        <w:t>高分子物理</w:t>
      </w:r>
    </w:p>
    <w:p>
      <w:pPr>
        <w:spacing w:line="420" w:lineRule="exact"/>
        <w:rPr>
          <w:color w:val="auto"/>
          <w:sz w:val="24"/>
          <w:highlight w:val="none"/>
        </w:rPr>
      </w:pPr>
    </w:p>
    <w:p>
      <w:pPr>
        <w:numPr>
          <w:ilvl w:val="0"/>
          <w:numId w:val="4"/>
        </w:numPr>
        <w:spacing w:line="420" w:lineRule="exact"/>
        <w:rPr>
          <w:color w:val="auto"/>
          <w:sz w:val="24"/>
          <w:highlight w:val="none"/>
        </w:rPr>
      </w:pPr>
      <w:r>
        <w:rPr>
          <w:rFonts w:hint="eastAsia"/>
          <w:color w:val="auto"/>
          <w:sz w:val="24"/>
          <w:highlight w:val="none"/>
        </w:rPr>
        <w:t>专业基础课（普及课）</w:t>
      </w:r>
    </w:p>
    <w:p>
      <w:pPr>
        <w:spacing w:line="420" w:lineRule="exact"/>
        <w:rPr>
          <w:color w:val="auto"/>
          <w:sz w:val="24"/>
          <w:highlight w:val="none"/>
        </w:rPr>
      </w:pPr>
      <w:r>
        <w:rPr>
          <w:rFonts w:hint="eastAsia"/>
          <w:color w:val="auto"/>
          <w:sz w:val="24"/>
          <w:highlight w:val="none"/>
        </w:rPr>
        <w:t xml:space="preserve">高等半导体物理 </w:t>
      </w:r>
    </w:p>
    <w:p>
      <w:pPr>
        <w:spacing w:line="420" w:lineRule="exact"/>
        <w:rPr>
          <w:color w:val="auto"/>
          <w:sz w:val="24"/>
          <w:highlight w:val="none"/>
        </w:rPr>
      </w:pPr>
      <w:r>
        <w:rPr>
          <w:rFonts w:hint="eastAsia"/>
          <w:color w:val="auto"/>
          <w:sz w:val="24"/>
          <w:highlight w:val="none"/>
        </w:rPr>
        <w:t xml:space="preserve">薄膜物理结构晶体学 </w:t>
      </w:r>
    </w:p>
    <w:p>
      <w:pPr>
        <w:spacing w:line="420" w:lineRule="exact"/>
        <w:rPr>
          <w:color w:val="auto"/>
          <w:sz w:val="24"/>
          <w:highlight w:val="none"/>
        </w:rPr>
      </w:pPr>
      <w:r>
        <w:rPr>
          <w:rFonts w:hint="eastAsia"/>
          <w:color w:val="auto"/>
          <w:sz w:val="24"/>
          <w:highlight w:val="none"/>
        </w:rPr>
        <w:t xml:space="preserve">半导体器件物理固体材料 </w:t>
      </w:r>
    </w:p>
    <w:p>
      <w:pPr>
        <w:spacing w:line="420" w:lineRule="exact"/>
        <w:rPr>
          <w:color w:val="auto"/>
          <w:sz w:val="24"/>
          <w:highlight w:val="none"/>
        </w:rPr>
      </w:pPr>
      <w:r>
        <w:rPr>
          <w:rFonts w:hint="eastAsia"/>
          <w:color w:val="auto"/>
          <w:sz w:val="24"/>
          <w:highlight w:val="none"/>
        </w:rPr>
        <w:t>聚合物基复合材料</w:t>
      </w:r>
    </w:p>
    <w:p>
      <w:pPr>
        <w:spacing w:line="420" w:lineRule="exact"/>
        <w:rPr>
          <w:color w:val="auto"/>
          <w:sz w:val="24"/>
          <w:highlight w:val="none"/>
        </w:rPr>
      </w:pPr>
      <w:r>
        <w:rPr>
          <w:rFonts w:hint="eastAsia"/>
          <w:color w:val="auto"/>
          <w:sz w:val="24"/>
          <w:highlight w:val="none"/>
        </w:rPr>
        <w:t xml:space="preserve">材料的扩散与相变 </w:t>
      </w:r>
    </w:p>
    <w:p>
      <w:pPr>
        <w:spacing w:line="420" w:lineRule="exact"/>
        <w:rPr>
          <w:color w:val="auto"/>
          <w:sz w:val="24"/>
          <w:highlight w:val="none"/>
        </w:rPr>
      </w:pPr>
      <w:r>
        <w:rPr>
          <w:rFonts w:hint="eastAsia"/>
          <w:color w:val="auto"/>
          <w:sz w:val="24"/>
          <w:highlight w:val="none"/>
        </w:rPr>
        <w:t>先进功能高分子材料</w:t>
      </w:r>
    </w:p>
    <w:p>
      <w:pPr>
        <w:spacing w:line="420" w:lineRule="exact"/>
        <w:rPr>
          <w:color w:val="auto"/>
          <w:sz w:val="24"/>
          <w:highlight w:val="none"/>
        </w:rPr>
      </w:pPr>
      <w:r>
        <w:rPr>
          <w:rFonts w:hint="eastAsia"/>
          <w:color w:val="auto"/>
          <w:sz w:val="24"/>
          <w:highlight w:val="none"/>
        </w:rPr>
        <w:t xml:space="preserve">X 射线晶体学 </w:t>
      </w:r>
    </w:p>
    <w:p>
      <w:pPr>
        <w:spacing w:line="420" w:lineRule="exact"/>
        <w:rPr>
          <w:color w:val="auto"/>
          <w:sz w:val="24"/>
          <w:highlight w:val="none"/>
        </w:rPr>
      </w:pPr>
      <w:r>
        <w:rPr>
          <w:rFonts w:hint="eastAsia"/>
          <w:color w:val="auto"/>
          <w:sz w:val="24"/>
          <w:highlight w:val="none"/>
        </w:rPr>
        <w:t xml:space="preserve">胶体与界面化学计算材料物理 </w:t>
      </w:r>
    </w:p>
    <w:p>
      <w:pPr>
        <w:spacing w:line="420" w:lineRule="exact"/>
        <w:rPr>
          <w:color w:val="auto"/>
          <w:sz w:val="24"/>
          <w:highlight w:val="none"/>
        </w:rPr>
      </w:pPr>
      <w:r>
        <w:rPr>
          <w:rFonts w:hint="eastAsia"/>
          <w:color w:val="auto"/>
          <w:sz w:val="24"/>
          <w:highlight w:val="none"/>
        </w:rPr>
        <w:t>现代无机合成</w:t>
      </w:r>
    </w:p>
    <w:p>
      <w:pPr>
        <w:spacing w:line="420" w:lineRule="exact"/>
        <w:rPr>
          <w:color w:val="auto"/>
          <w:sz w:val="24"/>
          <w:highlight w:val="none"/>
        </w:rPr>
      </w:pPr>
      <w:r>
        <w:rPr>
          <w:rFonts w:hint="eastAsia"/>
          <w:color w:val="auto"/>
          <w:sz w:val="24"/>
          <w:highlight w:val="none"/>
        </w:rPr>
        <w:t xml:space="preserve">分子材料与分子器件 </w:t>
      </w:r>
    </w:p>
    <w:p>
      <w:pPr>
        <w:spacing w:line="420" w:lineRule="exact"/>
        <w:rPr>
          <w:color w:val="auto"/>
          <w:sz w:val="24"/>
          <w:highlight w:val="none"/>
        </w:rPr>
      </w:pPr>
      <w:r>
        <w:rPr>
          <w:rFonts w:hint="eastAsia"/>
          <w:color w:val="auto"/>
          <w:sz w:val="24"/>
          <w:highlight w:val="none"/>
        </w:rPr>
        <w:t>聚合物分析方法</w:t>
      </w:r>
    </w:p>
    <w:p>
      <w:pPr>
        <w:spacing w:line="420" w:lineRule="exact"/>
        <w:rPr>
          <w:color w:val="auto"/>
          <w:sz w:val="24"/>
          <w:highlight w:val="none"/>
        </w:rPr>
      </w:pPr>
      <w:r>
        <w:rPr>
          <w:rFonts w:hint="eastAsia"/>
          <w:color w:val="auto"/>
          <w:sz w:val="24"/>
          <w:highlight w:val="none"/>
        </w:rPr>
        <w:t xml:space="preserve">材料的表面与界面 </w:t>
      </w:r>
    </w:p>
    <w:p>
      <w:pPr>
        <w:spacing w:line="420" w:lineRule="exact"/>
        <w:rPr>
          <w:color w:val="auto"/>
          <w:sz w:val="24"/>
          <w:highlight w:val="none"/>
        </w:rPr>
      </w:pPr>
      <w:r>
        <w:rPr>
          <w:rFonts w:hint="eastAsia"/>
          <w:color w:val="auto"/>
          <w:sz w:val="24"/>
          <w:highlight w:val="none"/>
        </w:rPr>
        <w:t xml:space="preserve">复合材料及其力学导论材料气相沉积制备技术 </w:t>
      </w:r>
    </w:p>
    <w:p>
      <w:pPr>
        <w:spacing w:line="420" w:lineRule="exact"/>
        <w:rPr>
          <w:color w:val="auto"/>
          <w:sz w:val="24"/>
          <w:highlight w:val="none"/>
        </w:rPr>
      </w:pPr>
      <w:r>
        <w:rPr>
          <w:rFonts w:hint="eastAsia"/>
          <w:color w:val="auto"/>
          <w:sz w:val="24"/>
          <w:highlight w:val="none"/>
        </w:rPr>
        <w:t xml:space="preserve">非晶态物理 </w:t>
      </w:r>
    </w:p>
    <w:p>
      <w:pPr>
        <w:spacing w:line="420" w:lineRule="exact"/>
        <w:rPr>
          <w:color w:val="auto"/>
          <w:sz w:val="24"/>
          <w:highlight w:val="none"/>
        </w:rPr>
      </w:pPr>
      <w:r>
        <w:rPr>
          <w:rFonts w:hint="eastAsia"/>
          <w:color w:val="auto"/>
          <w:sz w:val="24"/>
          <w:highlight w:val="none"/>
        </w:rPr>
        <w:t xml:space="preserve">聚合物分析方法弹塑性力学 </w:t>
      </w:r>
    </w:p>
    <w:p>
      <w:pPr>
        <w:spacing w:line="420" w:lineRule="exact"/>
        <w:rPr>
          <w:color w:val="auto"/>
          <w:sz w:val="24"/>
          <w:highlight w:val="none"/>
        </w:rPr>
      </w:pPr>
      <w:r>
        <w:rPr>
          <w:rFonts w:hint="eastAsia"/>
          <w:color w:val="auto"/>
          <w:sz w:val="24"/>
          <w:highlight w:val="none"/>
        </w:rPr>
        <w:t xml:space="preserve">功能材料结构与设计 </w:t>
      </w:r>
    </w:p>
    <w:p>
      <w:pPr>
        <w:spacing w:line="420" w:lineRule="exact"/>
        <w:rPr>
          <w:color w:val="auto"/>
          <w:sz w:val="24"/>
          <w:highlight w:val="none"/>
        </w:rPr>
      </w:pPr>
      <w:r>
        <w:rPr>
          <w:rFonts w:hint="eastAsia"/>
          <w:color w:val="auto"/>
          <w:sz w:val="24"/>
          <w:highlight w:val="none"/>
        </w:rPr>
        <w:t>A材料的变形、断裂和位错 材料的疲劳和断裂</w:t>
      </w:r>
    </w:p>
    <w:p>
      <w:pPr>
        <w:spacing w:line="420" w:lineRule="exact"/>
        <w:rPr>
          <w:color w:val="auto"/>
          <w:sz w:val="24"/>
          <w:highlight w:val="none"/>
        </w:rPr>
      </w:pPr>
      <w:r>
        <w:rPr>
          <w:rFonts w:hint="eastAsia"/>
          <w:color w:val="auto"/>
          <w:sz w:val="24"/>
          <w:highlight w:val="none"/>
        </w:rPr>
        <w:t xml:space="preserve">塑性加工力学 </w:t>
      </w:r>
    </w:p>
    <w:p>
      <w:pPr>
        <w:spacing w:line="420" w:lineRule="exact"/>
        <w:rPr>
          <w:color w:val="auto"/>
          <w:sz w:val="24"/>
          <w:highlight w:val="none"/>
        </w:rPr>
      </w:pPr>
      <w:r>
        <w:rPr>
          <w:rFonts w:hint="eastAsia"/>
          <w:color w:val="auto"/>
          <w:sz w:val="24"/>
          <w:highlight w:val="none"/>
        </w:rPr>
        <w:t xml:space="preserve">材料加工工程中的输运现象聚合物加工成型原理 </w:t>
      </w:r>
    </w:p>
    <w:p>
      <w:pPr>
        <w:spacing w:line="420" w:lineRule="exact"/>
        <w:rPr>
          <w:color w:val="auto"/>
          <w:sz w:val="24"/>
          <w:highlight w:val="none"/>
        </w:rPr>
      </w:pPr>
      <w:r>
        <w:rPr>
          <w:rFonts w:hint="eastAsia"/>
          <w:color w:val="auto"/>
          <w:sz w:val="24"/>
          <w:highlight w:val="none"/>
        </w:rPr>
        <w:t>材料的失效与防护微 / 纳加工技术</w:t>
      </w:r>
    </w:p>
    <w:p>
      <w:pPr>
        <w:spacing w:line="420" w:lineRule="exact"/>
        <w:rPr>
          <w:color w:val="auto"/>
          <w:sz w:val="24"/>
          <w:highlight w:val="none"/>
        </w:rPr>
      </w:pPr>
    </w:p>
    <w:p>
      <w:pPr>
        <w:numPr>
          <w:ilvl w:val="0"/>
          <w:numId w:val="4"/>
        </w:numPr>
        <w:spacing w:line="420" w:lineRule="exact"/>
        <w:rPr>
          <w:color w:val="auto"/>
          <w:sz w:val="24"/>
          <w:highlight w:val="none"/>
        </w:rPr>
      </w:pPr>
      <w:r>
        <w:rPr>
          <w:rFonts w:hint="eastAsia"/>
          <w:color w:val="auto"/>
          <w:sz w:val="24"/>
          <w:highlight w:val="none"/>
        </w:rPr>
        <w:t>专业课（研讨课及科学前沿讲座）</w:t>
      </w:r>
    </w:p>
    <w:p>
      <w:pPr>
        <w:spacing w:line="420" w:lineRule="exact"/>
        <w:rPr>
          <w:color w:val="auto"/>
          <w:sz w:val="24"/>
          <w:highlight w:val="none"/>
        </w:rPr>
      </w:pPr>
      <w:r>
        <w:rPr>
          <w:rFonts w:hint="eastAsia"/>
          <w:color w:val="auto"/>
          <w:sz w:val="24"/>
          <w:highlight w:val="none"/>
        </w:rPr>
        <w:t>根据学生科研工作的需要，灵活设置。</w:t>
      </w:r>
    </w:p>
    <w:tbl>
      <w:tblPr>
        <w:tblStyle w:val="8"/>
        <w:tblW w:w="0" w:type="auto"/>
        <w:tblInd w:w="2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3969"/>
        <w:gridCol w:w="1366"/>
        <w:gridCol w:w="19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2376" w:type="dxa"/>
          </w:tcPr>
          <w:p>
            <w:pPr>
              <w:pStyle w:val="7"/>
              <w:autoSpaceDE w:val="0"/>
              <w:autoSpaceDN w:val="0"/>
              <w:spacing w:before="46"/>
              <w:ind w:left="745"/>
              <w:jc w:val="left"/>
              <w:rPr>
                <w:rFonts w:ascii="黑体" w:eastAsia="黑体"/>
                <w:color w:val="auto"/>
                <w:highlight w:val="none"/>
                <w:lang w:eastAsia="en-US"/>
              </w:rPr>
            </w:pPr>
            <w:r>
              <w:rPr>
                <w:rFonts w:hint="eastAsia" w:ascii="黑体" w:eastAsia="黑体"/>
                <w:color w:val="auto"/>
                <w:highlight w:val="none"/>
                <w:lang w:eastAsia="en-US"/>
              </w:rPr>
              <w:t>课程类别</w:t>
            </w:r>
          </w:p>
        </w:tc>
        <w:tc>
          <w:tcPr>
            <w:tcW w:w="3969" w:type="dxa"/>
          </w:tcPr>
          <w:p>
            <w:pPr>
              <w:pStyle w:val="7"/>
              <w:autoSpaceDE w:val="0"/>
              <w:autoSpaceDN w:val="0"/>
              <w:spacing w:before="46"/>
              <w:ind w:left="461" w:right="461"/>
              <w:rPr>
                <w:rFonts w:ascii="黑体" w:eastAsia="黑体"/>
                <w:color w:val="auto"/>
                <w:highlight w:val="none"/>
                <w:lang w:eastAsia="en-US"/>
              </w:rPr>
            </w:pPr>
            <w:r>
              <w:rPr>
                <w:rFonts w:hint="eastAsia" w:ascii="黑体" w:eastAsia="黑体"/>
                <w:color w:val="auto"/>
                <w:highlight w:val="none"/>
                <w:lang w:eastAsia="en-US"/>
              </w:rPr>
              <w:t>课程名称</w:t>
            </w:r>
          </w:p>
        </w:tc>
        <w:tc>
          <w:tcPr>
            <w:tcW w:w="1366" w:type="dxa"/>
          </w:tcPr>
          <w:p>
            <w:pPr>
              <w:pStyle w:val="7"/>
              <w:autoSpaceDE w:val="0"/>
              <w:autoSpaceDN w:val="0"/>
              <w:spacing w:before="46"/>
              <w:ind w:left="360" w:right="360"/>
              <w:rPr>
                <w:rFonts w:ascii="黑体" w:eastAsia="黑体"/>
                <w:color w:val="auto"/>
                <w:highlight w:val="none"/>
                <w:lang w:eastAsia="en-US"/>
              </w:rPr>
            </w:pPr>
            <w:r>
              <w:rPr>
                <w:rFonts w:hint="eastAsia" w:ascii="黑体" w:eastAsia="黑体"/>
                <w:color w:val="auto"/>
                <w:highlight w:val="none"/>
                <w:lang w:eastAsia="en-US"/>
              </w:rPr>
              <w:t>学分</w:t>
            </w:r>
          </w:p>
        </w:tc>
        <w:tc>
          <w:tcPr>
            <w:tcW w:w="1917" w:type="dxa"/>
          </w:tcPr>
          <w:p>
            <w:pPr>
              <w:pStyle w:val="7"/>
              <w:autoSpaceDE w:val="0"/>
              <w:autoSpaceDN w:val="0"/>
              <w:spacing w:before="46"/>
              <w:ind w:left="435" w:right="435"/>
              <w:rPr>
                <w:rFonts w:ascii="黑体" w:eastAsia="黑体"/>
                <w:color w:val="auto"/>
                <w:highlight w:val="none"/>
                <w:lang w:eastAsia="en-US"/>
              </w:rPr>
            </w:pPr>
            <w:r>
              <w:rPr>
                <w:rFonts w:hint="eastAsia" w:ascii="黑体" w:eastAsia="黑体"/>
                <w:color w:val="auto"/>
                <w:highlight w:val="none"/>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restart"/>
          </w:tcPr>
          <w:p>
            <w:pPr>
              <w:pStyle w:val="7"/>
              <w:autoSpaceDE w:val="0"/>
              <w:autoSpaceDN w:val="0"/>
              <w:jc w:val="left"/>
              <w:rPr>
                <w:rFonts w:ascii="黑体"/>
                <w:color w:val="auto"/>
                <w:sz w:val="20"/>
                <w:highlight w:val="none"/>
                <w:lang w:eastAsia="en-US"/>
              </w:rPr>
            </w:pPr>
          </w:p>
          <w:p>
            <w:pPr>
              <w:pStyle w:val="7"/>
              <w:autoSpaceDE w:val="0"/>
              <w:autoSpaceDN w:val="0"/>
              <w:spacing w:before="169"/>
              <w:ind w:left="685"/>
              <w:jc w:val="left"/>
              <w:rPr>
                <w:color w:val="auto"/>
                <w:sz w:val="20"/>
                <w:highlight w:val="none"/>
                <w:lang w:eastAsia="en-US"/>
              </w:rPr>
            </w:pPr>
            <w:r>
              <w:rPr>
                <w:color w:val="auto"/>
                <w:sz w:val="20"/>
                <w:highlight w:val="none"/>
                <w:lang w:eastAsia="en-US"/>
              </w:rPr>
              <w:t>公共学位课</w:t>
            </w:r>
          </w:p>
        </w:tc>
        <w:tc>
          <w:tcPr>
            <w:tcW w:w="3969" w:type="dxa"/>
          </w:tcPr>
          <w:p>
            <w:pPr>
              <w:pStyle w:val="7"/>
              <w:autoSpaceDE w:val="0"/>
              <w:autoSpaceDN w:val="0"/>
              <w:spacing w:before="34"/>
              <w:ind w:left="461" w:right="461"/>
              <w:rPr>
                <w:color w:val="auto"/>
                <w:sz w:val="20"/>
                <w:highlight w:val="none"/>
                <w:lang w:eastAsia="zh-CN"/>
              </w:rPr>
            </w:pPr>
            <w:r>
              <w:rPr>
                <w:color w:val="auto"/>
                <w:sz w:val="20"/>
                <w:highlight w:val="none"/>
                <w:lang w:eastAsia="zh-CN"/>
              </w:rPr>
              <w:t>中国特色社会主义理论与实践研究</w:t>
            </w:r>
          </w:p>
        </w:tc>
        <w:tc>
          <w:tcPr>
            <w:tcW w:w="1366" w:type="dxa"/>
          </w:tcPr>
          <w:p>
            <w:pPr>
              <w:pStyle w:val="7"/>
              <w:autoSpaceDE w:val="0"/>
              <w:autoSpaceDN w:val="0"/>
              <w:spacing w:before="34"/>
              <w:rPr>
                <w:color w:val="auto"/>
                <w:sz w:val="20"/>
                <w:highlight w:val="none"/>
                <w:lang w:eastAsia="en-US"/>
              </w:rPr>
            </w:pPr>
            <w:r>
              <w:rPr>
                <w:color w:val="auto"/>
                <w:sz w:val="20"/>
                <w:highlight w:val="none"/>
                <w:lang w:eastAsia="en-US"/>
              </w:rPr>
              <w:t>2</w:t>
            </w:r>
          </w:p>
        </w:tc>
        <w:tc>
          <w:tcPr>
            <w:tcW w:w="1917" w:type="dxa"/>
            <w:vMerge w:val="restart"/>
          </w:tcPr>
          <w:p>
            <w:pPr>
              <w:pStyle w:val="7"/>
              <w:autoSpaceDE w:val="0"/>
              <w:autoSpaceDN w:val="0"/>
              <w:spacing w:before="10"/>
              <w:jc w:val="left"/>
              <w:rPr>
                <w:rFonts w:ascii="黑体"/>
                <w:color w:val="auto"/>
                <w:sz w:val="23"/>
                <w:highlight w:val="none"/>
                <w:lang w:eastAsia="en-US"/>
              </w:rPr>
            </w:pPr>
          </w:p>
          <w:p>
            <w:pPr>
              <w:pStyle w:val="7"/>
              <w:autoSpaceDE w:val="0"/>
              <w:autoSpaceDN w:val="0"/>
              <w:spacing w:line="251" w:lineRule="exact"/>
              <w:ind w:left="435" w:right="435"/>
              <w:rPr>
                <w:color w:val="auto"/>
                <w:sz w:val="20"/>
                <w:highlight w:val="none"/>
                <w:lang w:eastAsia="en-US"/>
              </w:rPr>
            </w:pPr>
            <w:r>
              <w:rPr>
                <w:color w:val="auto"/>
                <w:sz w:val="20"/>
                <w:highlight w:val="none"/>
                <w:lang w:eastAsia="en-US"/>
              </w:rPr>
              <w:t>公共学位课</w:t>
            </w:r>
          </w:p>
          <w:p>
            <w:pPr>
              <w:pStyle w:val="7"/>
              <w:autoSpaceDE w:val="0"/>
              <w:autoSpaceDN w:val="0"/>
              <w:spacing w:line="251" w:lineRule="exact"/>
              <w:ind w:left="435" w:right="435"/>
              <w:rPr>
                <w:color w:val="auto"/>
                <w:sz w:val="20"/>
                <w:highlight w:val="none"/>
                <w:lang w:eastAsia="en-US"/>
              </w:rPr>
            </w:pPr>
            <w:r>
              <w:rPr>
                <w:color w:val="auto"/>
                <w:sz w:val="20"/>
                <w:highlight w:val="none"/>
                <w:lang w:eastAsia="en-US"/>
              </w:rPr>
              <w:t>11</w:t>
            </w:r>
            <w:r>
              <w:rPr>
                <w:color w:val="auto"/>
                <w:spacing w:val="-50"/>
                <w:sz w:val="20"/>
                <w:highlight w:val="none"/>
                <w:lang w:eastAsia="en-US"/>
              </w:rPr>
              <w:t xml:space="preserve"> </w:t>
            </w:r>
            <w:r>
              <w:rPr>
                <w:color w:val="auto"/>
                <w:sz w:val="20"/>
                <w:highlight w:val="none"/>
                <w:lang w:eastAsia="en-US"/>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continue"/>
          </w:tcPr>
          <w:p>
            <w:pPr>
              <w:autoSpaceDE w:val="0"/>
              <w:autoSpaceDN w:val="0"/>
              <w:rPr>
                <w:color w:val="auto"/>
                <w:highlight w:val="none"/>
                <w:lang w:eastAsia="en-US"/>
              </w:rPr>
            </w:pPr>
          </w:p>
        </w:tc>
        <w:tc>
          <w:tcPr>
            <w:tcW w:w="3969" w:type="dxa"/>
          </w:tcPr>
          <w:p>
            <w:pPr>
              <w:pStyle w:val="7"/>
              <w:autoSpaceDE w:val="0"/>
              <w:autoSpaceDN w:val="0"/>
              <w:spacing w:before="34"/>
              <w:ind w:left="461" w:right="461"/>
              <w:rPr>
                <w:color w:val="auto"/>
                <w:sz w:val="20"/>
                <w:highlight w:val="none"/>
                <w:lang w:eastAsia="zh-CN"/>
              </w:rPr>
            </w:pPr>
            <w:r>
              <w:rPr>
                <w:color w:val="auto"/>
                <w:sz w:val="20"/>
                <w:highlight w:val="none"/>
                <w:lang w:eastAsia="zh-CN"/>
              </w:rPr>
              <w:t>学术道德与学术写作规范</w:t>
            </w:r>
          </w:p>
        </w:tc>
        <w:tc>
          <w:tcPr>
            <w:tcW w:w="1366" w:type="dxa"/>
          </w:tcPr>
          <w:p>
            <w:pPr>
              <w:pStyle w:val="7"/>
              <w:autoSpaceDE w:val="0"/>
              <w:autoSpaceDN w:val="0"/>
              <w:spacing w:before="34"/>
              <w:rPr>
                <w:color w:val="auto"/>
                <w:sz w:val="20"/>
                <w:highlight w:val="none"/>
                <w:lang w:eastAsia="en-US"/>
              </w:rPr>
            </w:pPr>
            <w:r>
              <w:rPr>
                <w:color w:val="auto"/>
                <w:sz w:val="20"/>
                <w:highlight w:val="none"/>
                <w:lang w:eastAsia="en-US"/>
              </w:rPr>
              <w:t>1</w:t>
            </w:r>
          </w:p>
        </w:tc>
        <w:tc>
          <w:tcPr>
            <w:tcW w:w="1917"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continue"/>
          </w:tcPr>
          <w:p>
            <w:pPr>
              <w:autoSpaceDE w:val="0"/>
              <w:autoSpaceDN w:val="0"/>
              <w:rPr>
                <w:color w:val="auto"/>
                <w:highlight w:val="none"/>
                <w:lang w:eastAsia="en-US"/>
              </w:rPr>
            </w:pPr>
          </w:p>
        </w:tc>
        <w:tc>
          <w:tcPr>
            <w:tcW w:w="3969" w:type="dxa"/>
          </w:tcPr>
          <w:p>
            <w:pPr>
              <w:pStyle w:val="7"/>
              <w:autoSpaceDE w:val="0"/>
              <w:autoSpaceDN w:val="0"/>
              <w:spacing w:before="34"/>
              <w:ind w:left="461" w:right="461"/>
              <w:rPr>
                <w:color w:val="auto"/>
                <w:sz w:val="20"/>
                <w:highlight w:val="none"/>
                <w:lang w:eastAsia="en-US"/>
              </w:rPr>
            </w:pPr>
            <w:r>
              <w:rPr>
                <w:color w:val="auto"/>
                <w:sz w:val="20"/>
                <w:highlight w:val="none"/>
                <w:lang w:eastAsia="en-US"/>
              </w:rPr>
              <w:t>自然辩证法概论</w:t>
            </w:r>
          </w:p>
        </w:tc>
        <w:tc>
          <w:tcPr>
            <w:tcW w:w="1366" w:type="dxa"/>
          </w:tcPr>
          <w:p>
            <w:pPr>
              <w:pStyle w:val="7"/>
              <w:autoSpaceDE w:val="0"/>
              <w:autoSpaceDN w:val="0"/>
              <w:spacing w:before="34"/>
              <w:rPr>
                <w:color w:val="auto"/>
                <w:sz w:val="20"/>
                <w:highlight w:val="none"/>
                <w:lang w:eastAsia="en-US"/>
              </w:rPr>
            </w:pPr>
            <w:r>
              <w:rPr>
                <w:color w:val="auto"/>
                <w:sz w:val="20"/>
                <w:highlight w:val="none"/>
                <w:lang w:eastAsia="en-US"/>
              </w:rPr>
              <w:t>1</w:t>
            </w:r>
          </w:p>
        </w:tc>
        <w:tc>
          <w:tcPr>
            <w:tcW w:w="1917" w:type="dxa"/>
            <w:vMerge w:val="continue"/>
          </w:tcPr>
          <w:p>
            <w:pPr>
              <w:autoSpaceDE w:val="0"/>
              <w:autoSpaceDN w:val="0"/>
              <w:rPr>
                <w:color w:val="auto"/>
                <w:highlight w:val="none"/>
                <w:lang w:eastAsia="en-US"/>
              </w:rPr>
            </w:pPr>
          </w:p>
        </w:tc>
      </w:tr>
    </w:tbl>
    <w:p>
      <w:pPr>
        <w:rPr>
          <w:color w:val="auto"/>
          <w:highlight w:val="none"/>
        </w:rPr>
        <w:sectPr>
          <w:pgSz w:w="11910" w:h="16160"/>
          <w:pgMar w:top="1120" w:right="1020" w:bottom="700" w:left="920" w:header="0" w:footer="506" w:gutter="0"/>
          <w:cols w:space="720" w:num="1"/>
        </w:sectPr>
      </w:pPr>
    </w:p>
    <w:p>
      <w:pPr>
        <w:pStyle w:val="2"/>
        <w:spacing w:before="0"/>
        <w:rPr>
          <w:rFonts w:ascii="黑体"/>
          <w:color w:val="auto"/>
          <w:sz w:val="20"/>
          <w:highlight w:val="none"/>
        </w:rPr>
      </w:pPr>
    </w:p>
    <w:tbl>
      <w:tblPr>
        <w:tblStyle w:val="8"/>
        <w:tblpPr w:leftFromText="180" w:rightFromText="180" w:vertAnchor="text" w:horzAnchor="page" w:tblpX="1056" w:tblpY="194"/>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3969"/>
        <w:gridCol w:w="1366"/>
        <w:gridCol w:w="19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2376" w:type="dxa"/>
          </w:tcPr>
          <w:p>
            <w:pPr>
              <w:pStyle w:val="7"/>
              <w:autoSpaceDE w:val="0"/>
              <w:autoSpaceDN w:val="0"/>
              <w:spacing w:before="46"/>
              <w:ind w:left="65" w:right="65"/>
              <w:rPr>
                <w:rFonts w:ascii="黑体" w:eastAsia="黑体"/>
                <w:color w:val="auto"/>
                <w:highlight w:val="none"/>
                <w:lang w:eastAsia="en-US"/>
              </w:rPr>
            </w:pPr>
            <w:r>
              <w:rPr>
                <w:rFonts w:hint="eastAsia" w:ascii="黑体" w:eastAsia="黑体"/>
                <w:color w:val="auto"/>
                <w:highlight w:val="none"/>
                <w:lang w:eastAsia="en-US"/>
              </w:rPr>
              <w:t>课程类别</w:t>
            </w:r>
          </w:p>
        </w:tc>
        <w:tc>
          <w:tcPr>
            <w:tcW w:w="3969" w:type="dxa"/>
          </w:tcPr>
          <w:p>
            <w:pPr>
              <w:pStyle w:val="7"/>
              <w:autoSpaceDE w:val="0"/>
              <w:autoSpaceDN w:val="0"/>
              <w:spacing w:before="46"/>
              <w:ind w:left="461" w:right="461"/>
              <w:rPr>
                <w:rFonts w:ascii="黑体" w:eastAsia="黑体"/>
                <w:color w:val="auto"/>
                <w:highlight w:val="none"/>
                <w:lang w:eastAsia="en-US"/>
              </w:rPr>
            </w:pPr>
            <w:r>
              <w:rPr>
                <w:rFonts w:hint="eastAsia" w:ascii="黑体" w:eastAsia="黑体"/>
                <w:color w:val="auto"/>
                <w:highlight w:val="none"/>
                <w:lang w:eastAsia="en-US"/>
              </w:rPr>
              <w:t>课程名称</w:t>
            </w:r>
          </w:p>
        </w:tc>
        <w:tc>
          <w:tcPr>
            <w:tcW w:w="1366" w:type="dxa"/>
          </w:tcPr>
          <w:p>
            <w:pPr>
              <w:pStyle w:val="7"/>
              <w:autoSpaceDE w:val="0"/>
              <w:autoSpaceDN w:val="0"/>
              <w:spacing w:before="46"/>
              <w:ind w:left="360" w:right="360"/>
              <w:rPr>
                <w:rFonts w:ascii="黑体" w:eastAsia="黑体"/>
                <w:color w:val="auto"/>
                <w:highlight w:val="none"/>
                <w:lang w:eastAsia="en-US"/>
              </w:rPr>
            </w:pPr>
            <w:r>
              <w:rPr>
                <w:rFonts w:hint="eastAsia" w:ascii="黑体" w:eastAsia="黑体"/>
                <w:color w:val="auto"/>
                <w:highlight w:val="none"/>
                <w:lang w:eastAsia="en-US"/>
              </w:rPr>
              <w:t>学分</w:t>
            </w:r>
          </w:p>
        </w:tc>
        <w:tc>
          <w:tcPr>
            <w:tcW w:w="1917" w:type="dxa"/>
          </w:tcPr>
          <w:p>
            <w:pPr>
              <w:pStyle w:val="7"/>
              <w:autoSpaceDE w:val="0"/>
              <w:autoSpaceDN w:val="0"/>
              <w:spacing w:before="46"/>
              <w:ind w:left="435" w:right="435"/>
              <w:rPr>
                <w:rFonts w:ascii="黑体" w:eastAsia="黑体"/>
                <w:color w:val="auto"/>
                <w:highlight w:val="none"/>
                <w:lang w:eastAsia="en-US"/>
              </w:rPr>
            </w:pPr>
            <w:r>
              <w:rPr>
                <w:rFonts w:hint="eastAsia" w:ascii="黑体" w:eastAsia="黑体"/>
                <w:color w:val="auto"/>
                <w:highlight w:val="none"/>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restart"/>
          </w:tcPr>
          <w:p>
            <w:pPr>
              <w:pStyle w:val="7"/>
              <w:autoSpaceDE w:val="0"/>
              <w:autoSpaceDN w:val="0"/>
              <w:jc w:val="left"/>
              <w:rPr>
                <w:rFonts w:ascii="黑体"/>
                <w:color w:val="auto"/>
                <w:sz w:val="20"/>
                <w:highlight w:val="none"/>
                <w:lang w:eastAsia="en-US"/>
              </w:rPr>
            </w:pPr>
          </w:p>
          <w:p>
            <w:pPr>
              <w:pStyle w:val="7"/>
              <w:autoSpaceDE w:val="0"/>
              <w:autoSpaceDN w:val="0"/>
              <w:spacing w:before="169"/>
              <w:ind w:left="685"/>
              <w:jc w:val="left"/>
              <w:rPr>
                <w:color w:val="auto"/>
                <w:sz w:val="20"/>
                <w:highlight w:val="none"/>
                <w:lang w:eastAsia="en-US"/>
              </w:rPr>
            </w:pPr>
            <w:r>
              <w:rPr>
                <w:color w:val="auto"/>
                <w:sz w:val="20"/>
                <w:highlight w:val="none"/>
                <w:lang w:eastAsia="en-US"/>
              </w:rPr>
              <w:t>公共学位课</w:t>
            </w:r>
          </w:p>
        </w:tc>
        <w:tc>
          <w:tcPr>
            <w:tcW w:w="3969" w:type="dxa"/>
          </w:tcPr>
          <w:p>
            <w:pPr>
              <w:pStyle w:val="7"/>
              <w:autoSpaceDE w:val="0"/>
              <w:autoSpaceDN w:val="0"/>
              <w:spacing w:before="34"/>
              <w:ind w:right="904"/>
              <w:jc w:val="right"/>
              <w:rPr>
                <w:color w:val="auto"/>
                <w:sz w:val="20"/>
                <w:highlight w:val="none"/>
                <w:lang w:eastAsia="zh-CN"/>
              </w:rPr>
            </w:pPr>
            <w:r>
              <w:rPr>
                <w:color w:val="auto"/>
                <w:sz w:val="20"/>
                <w:highlight w:val="none"/>
                <w:lang w:eastAsia="zh-CN"/>
              </w:rPr>
              <w:t>硕士学位英语（英语</w:t>
            </w:r>
            <w:r>
              <w:rPr>
                <w:color w:val="auto"/>
                <w:spacing w:val="-50"/>
                <w:sz w:val="20"/>
                <w:highlight w:val="none"/>
                <w:lang w:eastAsia="zh-CN"/>
              </w:rPr>
              <w:t xml:space="preserve"> </w:t>
            </w:r>
            <w:r>
              <w:rPr>
                <w:color w:val="auto"/>
                <w:sz w:val="20"/>
                <w:highlight w:val="none"/>
                <w:lang w:eastAsia="zh-CN"/>
              </w:rPr>
              <w:t>A）</w:t>
            </w:r>
          </w:p>
        </w:tc>
        <w:tc>
          <w:tcPr>
            <w:tcW w:w="1366" w:type="dxa"/>
          </w:tcPr>
          <w:p>
            <w:pPr>
              <w:pStyle w:val="7"/>
              <w:autoSpaceDE w:val="0"/>
              <w:autoSpaceDN w:val="0"/>
              <w:spacing w:before="34"/>
              <w:rPr>
                <w:color w:val="auto"/>
                <w:sz w:val="20"/>
                <w:highlight w:val="none"/>
                <w:lang w:eastAsia="en-US"/>
              </w:rPr>
            </w:pPr>
            <w:r>
              <w:rPr>
                <w:color w:val="auto"/>
                <w:sz w:val="20"/>
                <w:highlight w:val="none"/>
                <w:lang w:eastAsia="en-US"/>
              </w:rPr>
              <w:t>3</w:t>
            </w:r>
          </w:p>
        </w:tc>
        <w:tc>
          <w:tcPr>
            <w:tcW w:w="1917" w:type="dxa"/>
            <w:vMerge w:val="restart"/>
          </w:tcPr>
          <w:p>
            <w:pPr>
              <w:pStyle w:val="7"/>
              <w:autoSpaceDE w:val="0"/>
              <w:autoSpaceDN w:val="0"/>
              <w:spacing w:before="10"/>
              <w:jc w:val="left"/>
              <w:rPr>
                <w:rFonts w:ascii="黑体"/>
                <w:color w:val="auto"/>
                <w:sz w:val="23"/>
                <w:highlight w:val="none"/>
                <w:lang w:eastAsia="en-US"/>
              </w:rPr>
            </w:pPr>
          </w:p>
          <w:p>
            <w:pPr>
              <w:pStyle w:val="7"/>
              <w:autoSpaceDE w:val="0"/>
              <w:autoSpaceDN w:val="0"/>
              <w:spacing w:line="251" w:lineRule="exact"/>
              <w:ind w:left="435" w:right="435"/>
              <w:rPr>
                <w:color w:val="auto"/>
                <w:sz w:val="20"/>
                <w:highlight w:val="none"/>
                <w:lang w:eastAsia="en-US"/>
              </w:rPr>
            </w:pPr>
            <w:r>
              <w:rPr>
                <w:color w:val="auto"/>
                <w:sz w:val="20"/>
                <w:highlight w:val="none"/>
                <w:lang w:eastAsia="en-US"/>
              </w:rPr>
              <w:t>公共学位课</w:t>
            </w:r>
          </w:p>
          <w:p>
            <w:pPr>
              <w:pStyle w:val="7"/>
              <w:autoSpaceDE w:val="0"/>
              <w:autoSpaceDN w:val="0"/>
              <w:spacing w:line="251" w:lineRule="exact"/>
              <w:ind w:left="435" w:right="435"/>
              <w:rPr>
                <w:color w:val="auto"/>
                <w:sz w:val="20"/>
                <w:highlight w:val="none"/>
                <w:lang w:eastAsia="en-US"/>
              </w:rPr>
            </w:pPr>
            <w:r>
              <w:rPr>
                <w:color w:val="auto"/>
                <w:sz w:val="20"/>
                <w:highlight w:val="none"/>
                <w:lang w:eastAsia="en-US"/>
              </w:rPr>
              <w:t>11</w:t>
            </w:r>
            <w:r>
              <w:rPr>
                <w:color w:val="auto"/>
                <w:spacing w:val="-50"/>
                <w:sz w:val="20"/>
                <w:highlight w:val="none"/>
                <w:lang w:eastAsia="en-US"/>
              </w:rPr>
              <w:t xml:space="preserve"> </w:t>
            </w:r>
            <w:r>
              <w:rPr>
                <w:color w:val="auto"/>
                <w:sz w:val="20"/>
                <w:highlight w:val="none"/>
                <w:lang w:eastAsia="en-US"/>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continue"/>
          </w:tcPr>
          <w:p>
            <w:pPr>
              <w:autoSpaceDE w:val="0"/>
              <w:autoSpaceDN w:val="0"/>
              <w:rPr>
                <w:color w:val="auto"/>
                <w:highlight w:val="none"/>
                <w:lang w:eastAsia="en-US"/>
              </w:rPr>
            </w:pPr>
          </w:p>
        </w:tc>
        <w:tc>
          <w:tcPr>
            <w:tcW w:w="3969" w:type="dxa"/>
          </w:tcPr>
          <w:p>
            <w:pPr>
              <w:pStyle w:val="7"/>
              <w:autoSpaceDE w:val="0"/>
              <w:autoSpaceDN w:val="0"/>
              <w:spacing w:before="34"/>
              <w:ind w:right="954"/>
              <w:jc w:val="right"/>
              <w:rPr>
                <w:color w:val="auto"/>
                <w:sz w:val="20"/>
                <w:highlight w:val="none"/>
                <w:lang w:eastAsia="zh-CN"/>
              </w:rPr>
            </w:pPr>
            <w:r>
              <w:rPr>
                <w:color w:val="auto"/>
                <w:sz w:val="20"/>
                <w:highlight w:val="none"/>
                <w:lang w:eastAsia="zh-CN"/>
              </w:rPr>
              <w:t>博士学位英语（英语</w:t>
            </w:r>
            <w:r>
              <w:rPr>
                <w:color w:val="auto"/>
                <w:spacing w:val="-50"/>
                <w:sz w:val="20"/>
                <w:highlight w:val="none"/>
                <w:lang w:eastAsia="zh-CN"/>
              </w:rPr>
              <w:t xml:space="preserve"> </w:t>
            </w:r>
            <w:r>
              <w:rPr>
                <w:color w:val="auto"/>
                <w:sz w:val="20"/>
                <w:highlight w:val="none"/>
                <w:lang w:eastAsia="zh-CN"/>
              </w:rPr>
              <w:t>B)</w:t>
            </w:r>
          </w:p>
        </w:tc>
        <w:tc>
          <w:tcPr>
            <w:tcW w:w="1366" w:type="dxa"/>
          </w:tcPr>
          <w:p>
            <w:pPr>
              <w:pStyle w:val="7"/>
              <w:autoSpaceDE w:val="0"/>
              <w:autoSpaceDN w:val="0"/>
              <w:spacing w:before="34"/>
              <w:rPr>
                <w:color w:val="auto"/>
                <w:sz w:val="20"/>
                <w:highlight w:val="none"/>
                <w:lang w:eastAsia="en-US"/>
              </w:rPr>
            </w:pPr>
            <w:r>
              <w:rPr>
                <w:color w:val="auto"/>
                <w:sz w:val="20"/>
                <w:highlight w:val="none"/>
                <w:lang w:eastAsia="en-US"/>
              </w:rPr>
              <w:t>2</w:t>
            </w:r>
          </w:p>
        </w:tc>
        <w:tc>
          <w:tcPr>
            <w:tcW w:w="1917"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continue"/>
          </w:tcPr>
          <w:p>
            <w:pPr>
              <w:autoSpaceDE w:val="0"/>
              <w:autoSpaceDN w:val="0"/>
              <w:rPr>
                <w:color w:val="auto"/>
                <w:highlight w:val="none"/>
                <w:lang w:eastAsia="en-US"/>
              </w:rPr>
            </w:pPr>
          </w:p>
        </w:tc>
        <w:tc>
          <w:tcPr>
            <w:tcW w:w="3969" w:type="dxa"/>
          </w:tcPr>
          <w:p>
            <w:pPr>
              <w:pStyle w:val="7"/>
              <w:autoSpaceDE w:val="0"/>
              <w:autoSpaceDN w:val="0"/>
              <w:spacing w:before="34"/>
              <w:ind w:left="981"/>
              <w:jc w:val="left"/>
              <w:rPr>
                <w:color w:val="auto"/>
                <w:sz w:val="20"/>
                <w:highlight w:val="none"/>
                <w:lang w:eastAsia="zh-CN"/>
              </w:rPr>
            </w:pPr>
            <w:r>
              <w:rPr>
                <w:color w:val="auto"/>
                <w:sz w:val="20"/>
                <w:highlight w:val="none"/>
                <w:lang w:eastAsia="zh-CN"/>
              </w:rPr>
              <w:t>中国马克思主义与当代</w:t>
            </w:r>
          </w:p>
        </w:tc>
        <w:tc>
          <w:tcPr>
            <w:tcW w:w="1366" w:type="dxa"/>
          </w:tcPr>
          <w:p>
            <w:pPr>
              <w:pStyle w:val="7"/>
              <w:autoSpaceDE w:val="0"/>
              <w:autoSpaceDN w:val="0"/>
              <w:spacing w:before="34"/>
              <w:rPr>
                <w:color w:val="auto"/>
                <w:sz w:val="20"/>
                <w:highlight w:val="none"/>
                <w:lang w:eastAsia="en-US"/>
              </w:rPr>
            </w:pPr>
            <w:r>
              <w:rPr>
                <w:color w:val="auto"/>
                <w:sz w:val="20"/>
                <w:highlight w:val="none"/>
                <w:lang w:eastAsia="en-US"/>
              </w:rPr>
              <w:t>2</w:t>
            </w:r>
          </w:p>
        </w:tc>
        <w:tc>
          <w:tcPr>
            <w:tcW w:w="1917"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restart"/>
          </w:tcPr>
          <w:p>
            <w:pPr>
              <w:pStyle w:val="7"/>
              <w:autoSpaceDE w:val="0"/>
              <w:autoSpaceDN w:val="0"/>
              <w:jc w:val="left"/>
              <w:rPr>
                <w:rFonts w:ascii="黑体"/>
                <w:color w:val="auto"/>
                <w:sz w:val="20"/>
                <w:highlight w:val="none"/>
                <w:lang w:eastAsia="en-US"/>
              </w:rPr>
            </w:pPr>
          </w:p>
          <w:p>
            <w:pPr>
              <w:pStyle w:val="7"/>
              <w:autoSpaceDE w:val="0"/>
              <w:autoSpaceDN w:val="0"/>
              <w:spacing w:before="169"/>
              <w:ind w:left="685"/>
              <w:jc w:val="left"/>
              <w:rPr>
                <w:color w:val="auto"/>
                <w:sz w:val="20"/>
                <w:highlight w:val="none"/>
                <w:lang w:eastAsia="en-US"/>
              </w:rPr>
            </w:pPr>
            <w:r>
              <w:rPr>
                <w:color w:val="auto"/>
                <w:sz w:val="20"/>
                <w:highlight w:val="none"/>
                <w:lang w:eastAsia="en-US"/>
              </w:rPr>
              <w:t>专业学位课</w:t>
            </w:r>
          </w:p>
        </w:tc>
        <w:tc>
          <w:tcPr>
            <w:tcW w:w="3969" w:type="dxa"/>
          </w:tcPr>
          <w:p>
            <w:pPr>
              <w:pStyle w:val="7"/>
              <w:autoSpaceDE w:val="0"/>
              <w:autoSpaceDN w:val="0"/>
              <w:spacing w:before="34"/>
              <w:ind w:left="461" w:right="461"/>
              <w:rPr>
                <w:color w:val="auto"/>
                <w:sz w:val="20"/>
                <w:highlight w:val="none"/>
                <w:lang w:eastAsia="en-US"/>
              </w:rPr>
            </w:pPr>
            <w:r>
              <w:rPr>
                <w:color w:val="auto"/>
                <w:sz w:val="20"/>
                <w:highlight w:val="none"/>
                <w:lang w:eastAsia="en-US"/>
              </w:rPr>
              <w:t>核心课</w:t>
            </w:r>
          </w:p>
        </w:tc>
        <w:tc>
          <w:tcPr>
            <w:tcW w:w="1366" w:type="dxa"/>
          </w:tcPr>
          <w:p>
            <w:pPr>
              <w:autoSpaceDE w:val="0"/>
              <w:autoSpaceDN w:val="0"/>
              <w:rPr>
                <w:color w:val="auto"/>
                <w:highlight w:val="none"/>
                <w:lang w:eastAsia="en-US"/>
              </w:rPr>
            </w:pPr>
          </w:p>
        </w:tc>
        <w:tc>
          <w:tcPr>
            <w:tcW w:w="1917" w:type="dxa"/>
            <w:vMerge w:val="restart"/>
          </w:tcPr>
          <w:p>
            <w:pPr>
              <w:pStyle w:val="7"/>
              <w:autoSpaceDE w:val="0"/>
              <w:autoSpaceDN w:val="0"/>
              <w:spacing w:before="12"/>
              <w:jc w:val="left"/>
              <w:rPr>
                <w:rFonts w:ascii="黑体"/>
                <w:color w:val="auto"/>
                <w:sz w:val="26"/>
                <w:highlight w:val="none"/>
                <w:lang w:eastAsia="zh-CN"/>
              </w:rPr>
            </w:pPr>
          </w:p>
          <w:p>
            <w:pPr>
              <w:pStyle w:val="7"/>
              <w:autoSpaceDE w:val="0"/>
              <w:autoSpaceDN w:val="0"/>
              <w:spacing w:line="240" w:lineRule="exact"/>
              <w:ind w:left="756" w:right="28" w:hanging="725"/>
              <w:jc w:val="left"/>
              <w:rPr>
                <w:color w:val="auto"/>
                <w:sz w:val="20"/>
                <w:highlight w:val="none"/>
                <w:lang w:eastAsia="zh-CN"/>
              </w:rPr>
            </w:pPr>
            <w:r>
              <w:rPr>
                <w:color w:val="auto"/>
                <w:sz w:val="20"/>
                <w:highlight w:val="none"/>
                <w:lang w:eastAsia="zh-CN"/>
              </w:rPr>
              <w:t>专业学位课不低于 16学分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continue"/>
          </w:tcPr>
          <w:p>
            <w:pPr>
              <w:autoSpaceDE w:val="0"/>
              <w:autoSpaceDN w:val="0"/>
              <w:rPr>
                <w:color w:val="auto"/>
                <w:highlight w:val="none"/>
                <w:lang w:eastAsia="zh-CN"/>
              </w:rPr>
            </w:pPr>
          </w:p>
        </w:tc>
        <w:tc>
          <w:tcPr>
            <w:tcW w:w="3969" w:type="dxa"/>
          </w:tcPr>
          <w:p>
            <w:pPr>
              <w:pStyle w:val="7"/>
              <w:autoSpaceDE w:val="0"/>
              <w:autoSpaceDN w:val="0"/>
              <w:spacing w:before="34"/>
              <w:ind w:left="461" w:right="461"/>
              <w:rPr>
                <w:color w:val="auto"/>
                <w:sz w:val="20"/>
                <w:highlight w:val="none"/>
                <w:lang w:eastAsia="en-US"/>
              </w:rPr>
            </w:pPr>
            <w:r>
              <w:rPr>
                <w:color w:val="auto"/>
                <w:sz w:val="20"/>
                <w:highlight w:val="none"/>
                <w:lang w:eastAsia="en-US"/>
              </w:rPr>
              <w:t>普及课</w:t>
            </w:r>
          </w:p>
        </w:tc>
        <w:tc>
          <w:tcPr>
            <w:tcW w:w="1366" w:type="dxa"/>
          </w:tcPr>
          <w:p>
            <w:pPr>
              <w:autoSpaceDE w:val="0"/>
              <w:autoSpaceDN w:val="0"/>
              <w:rPr>
                <w:color w:val="auto"/>
                <w:highlight w:val="none"/>
                <w:lang w:eastAsia="en-US"/>
              </w:rPr>
            </w:pPr>
          </w:p>
        </w:tc>
        <w:tc>
          <w:tcPr>
            <w:tcW w:w="1917"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continue"/>
          </w:tcPr>
          <w:p>
            <w:pPr>
              <w:autoSpaceDE w:val="0"/>
              <w:autoSpaceDN w:val="0"/>
              <w:rPr>
                <w:color w:val="auto"/>
                <w:highlight w:val="none"/>
                <w:lang w:eastAsia="en-US"/>
              </w:rPr>
            </w:pPr>
          </w:p>
        </w:tc>
        <w:tc>
          <w:tcPr>
            <w:tcW w:w="3969" w:type="dxa"/>
          </w:tcPr>
          <w:p>
            <w:pPr>
              <w:pStyle w:val="7"/>
              <w:autoSpaceDE w:val="0"/>
              <w:autoSpaceDN w:val="0"/>
              <w:spacing w:before="34"/>
              <w:ind w:left="461" w:right="461"/>
              <w:rPr>
                <w:color w:val="auto"/>
                <w:sz w:val="20"/>
                <w:highlight w:val="none"/>
                <w:lang w:eastAsia="en-US"/>
              </w:rPr>
            </w:pPr>
            <w:r>
              <w:rPr>
                <w:color w:val="auto"/>
                <w:sz w:val="20"/>
                <w:highlight w:val="none"/>
                <w:lang w:eastAsia="en-US"/>
              </w:rPr>
              <w:t>研讨课</w:t>
            </w:r>
          </w:p>
        </w:tc>
        <w:tc>
          <w:tcPr>
            <w:tcW w:w="1366" w:type="dxa"/>
          </w:tcPr>
          <w:p>
            <w:pPr>
              <w:autoSpaceDE w:val="0"/>
              <w:autoSpaceDN w:val="0"/>
              <w:rPr>
                <w:color w:val="auto"/>
                <w:highlight w:val="none"/>
                <w:lang w:eastAsia="en-US"/>
              </w:rPr>
            </w:pPr>
          </w:p>
        </w:tc>
        <w:tc>
          <w:tcPr>
            <w:tcW w:w="1917"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restart"/>
          </w:tcPr>
          <w:p>
            <w:pPr>
              <w:pStyle w:val="7"/>
              <w:autoSpaceDE w:val="0"/>
              <w:autoSpaceDN w:val="0"/>
              <w:jc w:val="left"/>
              <w:rPr>
                <w:rFonts w:ascii="黑体"/>
                <w:color w:val="auto"/>
                <w:sz w:val="20"/>
                <w:highlight w:val="none"/>
                <w:lang w:eastAsia="en-US"/>
              </w:rPr>
            </w:pPr>
          </w:p>
          <w:p>
            <w:pPr>
              <w:pStyle w:val="7"/>
              <w:autoSpaceDE w:val="0"/>
              <w:autoSpaceDN w:val="0"/>
              <w:spacing w:before="1"/>
              <w:jc w:val="left"/>
              <w:rPr>
                <w:rFonts w:ascii="黑体"/>
                <w:color w:val="auto"/>
                <w:sz w:val="28"/>
                <w:highlight w:val="none"/>
                <w:lang w:eastAsia="en-US"/>
              </w:rPr>
            </w:pPr>
          </w:p>
          <w:p>
            <w:pPr>
              <w:pStyle w:val="7"/>
              <w:autoSpaceDE w:val="0"/>
              <w:autoSpaceDN w:val="0"/>
              <w:ind w:left="685"/>
              <w:jc w:val="left"/>
              <w:rPr>
                <w:color w:val="auto"/>
                <w:sz w:val="20"/>
                <w:highlight w:val="none"/>
                <w:lang w:eastAsia="en-US"/>
              </w:rPr>
            </w:pPr>
            <w:r>
              <w:rPr>
                <w:color w:val="auto"/>
                <w:sz w:val="20"/>
                <w:highlight w:val="none"/>
                <w:lang w:eastAsia="en-US"/>
              </w:rPr>
              <w:t>专业选修课</w:t>
            </w:r>
          </w:p>
        </w:tc>
        <w:tc>
          <w:tcPr>
            <w:tcW w:w="3969" w:type="dxa"/>
          </w:tcPr>
          <w:p>
            <w:pPr>
              <w:pStyle w:val="7"/>
              <w:autoSpaceDE w:val="0"/>
              <w:autoSpaceDN w:val="0"/>
              <w:spacing w:before="34"/>
              <w:ind w:left="461" w:right="461"/>
              <w:rPr>
                <w:color w:val="auto"/>
                <w:sz w:val="20"/>
                <w:highlight w:val="none"/>
                <w:lang w:eastAsia="en-US"/>
              </w:rPr>
            </w:pPr>
            <w:r>
              <w:rPr>
                <w:color w:val="auto"/>
                <w:sz w:val="20"/>
                <w:highlight w:val="none"/>
                <w:lang w:eastAsia="en-US"/>
              </w:rPr>
              <w:t>核心课</w:t>
            </w:r>
          </w:p>
        </w:tc>
        <w:tc>
          <w:tcPr>
            <w:tcW w:w="1366" w:type="dxa"/>
          </w:tcPr>
          <w:p>
            <w:pPr>
              <w:autoSpaceDE w:val="0"/>
              <w:autoSpaceDN w:val="0"/>
              <w:rPr>
                <w:color w:val="auto"/>
                <w:highlight w:val="none"/>
                <w:lang w:eastAsia="en-US"/>
              </w:rPr>
            </w:pPr>
          </w:p>
        </w:tc>
        <w:tc>
          <w:tcPr>
            <w:tcW w:w="1917" w:type="dxa"/>
            <w:vMerge w:val="restart"/>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continue"/>
          </w:tcPr>
          <w:p>
            <w:pPr>
              <w:autoSpaceDE w:val="0"/>
              <w:autoSpaceDN w:val="0"/>
              <w:rPr>
                <w:color w:val="auto"/>
                <w:highlight w:val="none"/>
                <w:lang w:eastAsia="en-US"/>
              </w:rPr>
            </w:pPr>
          </w:p>
        </w:tc>
        <w:tc>
          <w:tcPr>
            <w:tcW w:w="3969" w:type="dxa"/>
          </w:tcPr>
          <w:p>
            <w:pPr>
              <w:pStyle w:val="7"/>
              <w:autoSpaceDE w:val="0"/>
              <w:autoSpaceDN w:val="0"/>
              <w:spacing w:before="34"/>
              <w:ind w:left="461" w:right="461"/>
              <w:rPr>
                <w:color w:val="auto"/>
                <w:sz w:val="20"/>
                <w:highlight w:val="none"/>
                <w:lang w:eastAsia="en-US"/>
              </w:rPr>
            </w:pPr>
            <w:r>
              <w:rPr>
                <w:color w:val="auto"/>
                <w:sz w:val="20"/>
                <w:highlight w:val="none"/>
                <w:lang w:eastAsia="en-US"/>
              </w:rPr>
              <w:t>普及课</w:t>
            </w:r>
          </w:p>
        </w:tc>
        <w:tc>
          <w:tcPr>
            <w:tcW w:w="1366" w:type="dxa"/>
          </w:tcPr>
          <w:p>
            <w:pPr>
              <w:autoSpaceDE w:val="0"/>
              <w:autoSpaceDN w:val="0"/>
              <w:rPr>
                <w:color w:val="auto"/>
                <w:highlight w:val="none"/>
                <w:lang w:eastAsia="en-US"/>
              </w:rPr>
            </w:pPr>
          </w:p>
        </w:tc>
        <w:tc>
          <w:tcPr>
            <w:tcW w:w="1917"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continue"/>
          </w:tcPr>
          <w:p>
            <w:pPr>
              <w:autoSpaceDE w:val="0"/>
              <w:autoSpaceDN w:val="0"/>
              <w:rPr>
                <w:color w:val="auto"/>
                <w:highlight w:val="none"/>
                <w:lang w:eastAsia="en-US"/>
              </w:rPr>
            </w:pPr>
          </w:p>
        </w:tc>
        <w:tc>
          <w:tcPr>
            <w:tcW w:w="3969" w:type="dxa"/>
          </w:tcPr>
          <w:p>
            <w:pPr>
              <w:pStyle w:val="7"/>
              <w:autoSpaceDE w:val="0"/>
              <w:autoSpaceDN w:val="0"/>
              <w:spacing w:before="34"/>
              <w:ind w:left="461" w:right="461"/>
              <w:rPr>
                <w:color w:val="auto"/>
                <w:sz w:val="20"/>
                <w:highlight w:val="none"/>
                <w:lang w:eastAsia="en-US"/>
              </w:rPr>
            </w:pPr>
            <w:r>
              <w:rPr>
                <w:color w:val="auto"/>
                <w:sz w:val="20"/>
                <w:highlight w:val="none"/>
                <w:lang w:eastAsia="en-US"/>
              </w:rPr>
              <w:t>研讨课</w:t>
            </w:r>
          </w:p>
        </w:tc>
        <w:tc>
          <w:tcPr>
            <w:tcW w:w="1366" w:type="dxa"/>
          </w:tcPr>
          <w:p>
            <w:pPr>
              <w:autoSpaceDE w:val="0"/>
              <w:autoSpaceDN w:val="0"/>
              <w:rPr>
                <w:color w:val="auto"/>
                <w:highlight w:val="none"/>
                <w:lang w:eastAsia="en-US"/>
              </w:rPr>
            </w:pPr>
          </w:p>
        </w:tc>
        <w:tc>
          <w:tcPr>
            <w:tcW w:w="1917"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76" w:type="dxa"/>
            <w:vMerge w:val="continue"/>
          </w:tcPr>
          <w:p>
            <w:pPr>
              <w:autoSpaceDE w:val="0"/>
              <w:autoSpaceDN w:val="0"/>
              <w:rPr>
                <w:color w:val="auto"/>
                <w:highlight w:val="none"/>
                <w:lang w:eastAsia="en-US"/>
              </w:rPr>
            </w:pPr>
          </w:p>
        </w:tc>
        <w:tc>
          <w:tcPr>
            <w:tcW w:w="3969" w:type="dxa"/>
          </w:tcPr>
          <w:p>
            <w:pPr>
              <w:pStyle w:val="7"/>
              <w:autoSpaceDE w:val="0"/>
              <w:autoSpaceDN w:val="0"/>
              <w:spacing w:before="34"/>
              <w:ind w:left="461" w:right="461"/>
              <w:rPr>
                <w:color w:val="auto"/>
                <w:sz w:val="20"/>
                <w:highlight w:val="none"/>
                <w:lang w:eastAsia="en-US"/>
              </w:rPr>
            </w:pPr>
            <w:r>
              <w:rPr>
                <w:color w:val="auto"/>
                <w:sz w:val="20"/>
                <w:highlight w:val="none"/>
                <w:lang w:eastAsia="en-US"/>
              </w:rPr>
              <w:t>科学前沿讲座</w:t>
            </w:r>
          </w:p>
        </w:tc>
        <w:tc>
          <w:tcPr>
            <w:tcW w:w="1366" w:type="dxa"/>
          </w:tcPr>
          <w:p>
            <w:pPr>
              <w:autoSpaceDE w:val="0"/>
              <w:autoSpaceDN w:val="0"/>
              <w:rPr>
                <w:color w:val="auto"/>
                <w:highlight w:val="none"/>
                <w:lang w:eastAsia="en-US"/>
              </w:rPr>
            </w:pPr>
          </w:p>
        </w:tc>
        <w:tc>
          <w:tcPr>
            <w:tcW w:w="1917"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exact"/>
        </w:trPr>
        <w:tc>
          <w:tcPr>
            <w:tcW w:w="2376" w:type="dxa"/>
          </w:tcPr>
          <w:p>
            <w:pPr>
              <w:pStyle w:val="7"/>
              <w:autoSpaceDE w:val="0"/>
              <w:autoSpaceDN w:val="0"/>
              <w:spacing w:before="6"/>
              <w:jc w:val="left"/>
              <w:rPr>
                <w:rFonts w:ascii="黑体"/>
                <w:color w:val="auto"/>
                <w:sz w:val="16"/>
                <w:highlight w:val="none"/>
                <w:lang w:eastAsia="en-US"/>
              </w:rPr>
            </w:pPr>
          </w:p>
          <w:p>
            <w:pPr>
              <w:pStyle w:val="7"/>
              <w:autoSpaceDE w:val="0"/>
              <w:autoSpaceDN w:val="0"/>
              <w:ind w:left="65" w:right="65"/>
              <w:rPr>
                <w:color w:val="auto"/>
                <w:sz w:val="20"/>
                <w:highlight w:val="none"/>
                <w:lang w:eastAsia="en-US"/>
              </w:rPr>
            </w:pPr>
            <w:r>
              <w:rPr>
                <w:color w:val="auto"/>
                <w:sz w:val="20"/>
                <w:highlight w:val="none"/>
                <w:lang w:eastAsia="en-US"/>
              </w:rPr>
              <w:t>公共选修课</w:t>
            </w:r>
          </w:p>
        </w:tc>
        <w:tc>
          <w:tcPr>
            <w:tcW w:w="3969" w:type="dxa"/>
          </w:tcPr>
          <w:p>
            <w:pPr>
              <w:autoSpaceDE w:val="0"/>
              <w:autoSpaceDN w:val="0"/>
              <w:rPr>
                <w:color w:val="auto"/>
                <w:highlight w:val="none"/>
                <w:lang w:eastAsia="en-US"/>
              </w:rPr>
            </w:pPr>
          </w:p>
        </w:tc>
        <w:tc>
          <w:tcPr>
            <w:tcW w:w="1366" w:type="dxa"/>
          </w:tcPr>
          <w:p>
            <w:pPr>
              <w:autoSpaceDE w:val="0"/>
              <w:autoSpaceDN w:val="0"/>
              <w:rPr>
                <w:color w:val="auto"/>
                <w:highlight w:val="none"/>
                <w:lang w:eastAsia="en-US"/>
              </w:rPr>
            </w:pPr>
          </w:p>
        </w:tc>
        <w:tc>
          <w:tcPr>
            <w:tcW w:w="1917" w:type="dxa"/>
          </w:tcPr>
          <w:p>
            <w:pPr>
              <w:pStyle w:val="7"/>
              <w:autoSpaceDE w:val="0"/>
              <w:autoSpaceDN w:val="0"/>
              <w:spacing w:before="137" w:line="240" w:lineRule="exact"/>
              <w:ind w:left="755" w:right="79" w:hanging="675"/>
              <w:jc w:val="left"/>
              <w:rPr>
                <w:color w:val="auto"/>
                <w:sz w:val="20"/>
                <w:highlight w:val="none"/>
                <w:lang w:eastAsia="zh-CN"/>
              </w:rPr>
            </w:pPr>
            <w:r>
              <w:rPr>
                <w:color w:val="auto"/>
                <w:sz w:val="20"/>
                <w:highlight w:val="none"/>
                <w:lang w:eastAsia="zh-CN"/>
              </w:rPr>
              <w:t>公共选修课不低于 2学分</w:t>
            </w:r>
          </w:p>
        </w:tc>
      </w:tr>
    </w:tbl>
    <w:p>
      <w:pPr>
        <w:spacing w:line="420" w:lineRule="exact"/>
        <w:rPr>
          <w:color w:val="auto"/>
          <w:sz w:val="24"/>
          <w:highlight w:val="none"/>
        </w:rPr>
      </w:pPr>
      <w:r>
        <w:rPr>
          <w:rFonts w:hint="eastAsia"/>
          <w:color w:val="auto"/>
          <w:sz w:val="24"/>
          <w:highlight w:val="none"/>
        </w:rPr>
        <w:t>注：具体课程参考每学期中国科学院大学课程开设表，相关课程体系遵照学校课程设置方案执行，详见附表 1：材料科学与工程学科研究生专业课程设置一览表。</w:t>
      </w:r>
    </w:p>
    <w:p>
      <w:pPr>
        <w:spacing w:line="420" w:lineRule="exact"/>
        <w:rPr>
          <w:color w:val="auto"/>
          <w:sz w:val="24"/>
          <w:highlight w:val="none"/>
        </w:rPr>
      </w:pPr>
    </w:p>
    <w:p>
      <w:pPr>
        <w:spacing w:line="420" w:lineRule="exact"/>
        <w:ind w:firstLine="480" w:firstLineChars="200"/>
        <w:rPr>
          <w:color w:val="auto"/>
          <w:sz w:val="24"/>
          <w:highlight w:val="none"/>
        </w:rPr>
      </w:pPr>
      <w:r>
        <w:rPr>
          <w:rFonts w:hint="eastAsia"/>
          <w:color w:val="auto"/>
          <w:sz w:val="24"/>
          <w:highlight w:val="none"/>
        </w:rPr>
        <w:t>公开招考博士研究生在申请博士学位前，必须取得课程学习总学分不低于  9 学分，其中包括政治理论课程、学术道德与学术写作规范课程和外国语类课程二门公共学位课 5 学分，二至三门专业学位课（包括核心课、普及课、研讨课、科学前沿讲座）4 学分。</w:t>
      </w:r>
    </w:p>
    <w:tbl>
      <w:tblPr>
        <w:tblStyle w:val="8"/>
        <w:tblpPr w:leftFromText="180" w:rightFromText="180" w:vertAnchor="text" w:horzAnchor="page" w:tblpX="1800" w:tblpY="476"/>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9"/>
        <w:gridCol w:w="3827"/>
        <w:gridCol w:w="1134"/>
        <w:gridCol w:w="23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2319" w:type="dxa"/>
          </w:tcPr>
          <w:p>
            <w:pPr>
              <w:pStyle w:val="7"/>
              <w:autoSpaceDE w:val="0"/>
              <w:autoSpaceDN w:val="0"/>
              <w:spacing w:before="46"/>
              <w:ind w:left="717"/>
              <w:jc w:val="left"/>
              <w:rPr>
                <w:rFonts w:ascii="黑体" w:eastAsia="黑体"/>
                <w:color w:val="auto"/>
                <w:highlight w:val="none"/>
                <w:lang w:eastAsia="en-US"/>
              </w:rPr>
            </w:pPr>
            <w:r>
              <w:rPr>
                <w:rFonts w:hint="eastAsia" w:ascii="黑体" w:eastAsia="黑体"/>
                <w:color w:val="auto"/>
                <w:highlight w:val="none"/>
                <w:lang w:eastAsia="en-US"/>
              </w:rPr>
              <w:t>课程类别</w:t>
            </w:r>
          </w:p>
        </w:tc>
        <w:tc>
          <w:tcPr>
            <w:tcW w:w="3827" w:type="dxa"/>
          </w:tcPr>
          <w:p>
            <w:pPr>
              <w:pStyle w:val="7"/>
              <w:autoSpaceDE w:val="0"/>
              <w:autoSpaceDN w:val="0"/>
              <w:spacing w:before="46"/>
              <w:ind w:left="791" w:right="791"/>
              <w:rPr>
                <w:rFonts w:ascii="黑体" w:eastAsia="黑体"/>
                <w:color w:val="auto"/>
                <w:highlight w:val="none"/>
                <w:lang w:eastAsia="en-US"/>
              </w:rPr>
            </w:pPr>
            <w:r>
              <w:rPr>
                <w:rFonts w:hint="eastAsia" w:ascii="黑体" w:eastAsia="黑体"/>
                <w:color w:val="auto"/>
                <w:highlight w:val="none"/>
                <w:lang w:eastAsia="en-US"/>
              </w:rPr>
              <w:t>课程名称</w:t>
            </w:r>
          </w:p>
        </w:tc>
        <w:tc>
          <w:tcPr>
            <w:tcW w:w="1134" w:type="dxa"/>
          </w:tcPr>
          <w:p>
            <w:pPr>
              <w:pStyle w:val="7"/>
              <w:autoSpaceDE w:val="0"/>
              <w:autoSpaceDN w:val="0"/>
              <w:spacing w:before="46"/>
              <w:ind w:left="244" w:right="244"/>
              <w:rPr>
                <w:rFonts w:ascii="黑体" w:eastAsia="黑体"/>
                <w:color w:val="auto"/>
                <w:highlight w:val="none"/>
                <w:lang w:eastAsia="en-US"/>
              </w:rPr>
            </w:pPr>
            <w:r>
              <w:rPr>
                <w:rFonts w:hint="eastAsia" w:ascii="黑体" w:eastAsia="黑体"/>
                <w:color w:val="auto"/>
                <w:highlight w:val="none"/>
                <w:lang w:eastAsia="en-US"/>
              </w:rPr>
              <w:t>学分</w:t>
            </w:r>
          </w:p>
        </w:tc>
        <w:tc>
          <w:tcPr>
            <w:tcW w:w="2347" w:type="dxa"/>
          </w:tcPr>
          <w:p>
            <w:pPr>
              <w:pStyle w:val="7"/>
              <w:autoSpaceDE w:val="0"/>
              <w:autoSpaceDN w:val="0"/>
              <w:spacing w:before="46"/>
              <w:ind w:left="651" w:right="651"/>
              <w:rPr>
                <w:rFonts w:ascii="黑体" w:eastAsia="黑体"/>
                <w:color w:val="auto"/>
                <w:highlight w:val="none"/>
                <w:lang w:eastAsia="en-US"/>
              </w:rPr>
            </w:pPr>
            <w:r>
              <w:rPr>
                <w:rFonts w:hint="eastAsia" w:ascii="黑体" w:eastAsia="黑体"/>
                <w:color w:val="auto"/>
                <w:highlight w:val="none"/>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19" w:type="dxa"/>
            <w:vMerge w:val="restart"/>
          </w:tcPr>
          <w:p>
            <w:pPr>
              <w:pStyle w:val="7"/>
              <w:autoSpaceDE w:val="0"/>
              <w:autoSpaceDN w:val="0"/>
              <w:jc w:val="left"/>
              <w:rPr>
                <w:rFonts w:ascii="黑体"/>
                <w:color w:val="auto"/>
                <w:sz w:val="20"/>
                <w:highlight w:val="none"/>
                <w:lang w:eastAsia="en-US"/>
              </w:rPr>
            </w:pPr>
          </w:p>
          <w:p>
            <w:pPr>
              <w:pStyle w:val="7"/>
              <w:autoSpaceDE w:val="0"/>
              <w:autoSpaceDN w:val="0"/>
              <w:spacing w:before="169"/>
              <w:ind w:left="657"/>
              <w:jc w:val="left"/>
              <w:rPr>
                <w:color w:val="auto"/>
                <w:sz w:val="20"/>
                <w:highlight w:val="none"/>
                <w:lang w:eastAsia="en-US"/>
              </w:rPr>
            </w:pPr>
            <w:r>
              <w:rPr>
                <w:color w:val="auto"/>
                <w:sz w:val="20"/>
                <w:highlight w:val="none"/>
                <w:lang w:eastAsia="en-US"/>
              </w:rPr>
              <w:t>公共学位课</w:t>
            </w:r>
          </w:p>
        </w:tc>
        <w:tc>
          <w:tcPr>
            <w:tcW w:w="3827" w:type="dxa"/>
          </w:tcPr>
          <w:p>
            <w:pPr>
              <w:pStyle w:val="7"/>
              <w:autoSpaceDE w:val="0"/>
              <w:autoSpaceDN w:val="0"/>
              <w:spacing w:before="34"/>
              <w:ind w:left="791" w:right="791"/>
              <w:rPr>
                <w:color w:val="auto"/>
                <w:sz w:val="20"/>
                <w:highlight w:val="none"/>
                <w:lang w:eastAsia="zh-CN"/>
              </w:rPr>
            </w:pPr>
            <w:r>
              <w:rPr>
                <w:color w:val="auto"/>
                <w:sz w:val="20"/>
                <w:highlight w:val="none"/>
                <w:lang w:eastAsia="zh-CN"/>
              </w:rPr>
              <w:t>博士学位英语（英语</w:t>
            </w:r>
            <w:r>
              <w:rPr>
                <w:color w:val="auto"/>
                <w:spacing w:val="-50"/>
                <w:sz w:val="20"/>
                <w:highlight w:val="none"/>
                <w:lang w:eastAsia="zh-CN"/>
              </w:rPr>
              <w:t xml:space="preserve"> </w:t>
            </w:r>
            <w:r>
              <w:rPr>
                <w:color w:val="auto"/>
                <w:sz w:val="20"/>
                <w:highlight w:val="none"/>
                <w:lang w:eastAsia="zh-CN"/>
              </w:rPr>
              <w:t>B）</w:t>
            </w:r>
          </w:p>
        </w:tc>
        <w:tc>
          <w:tcPr>
            <w:tcW w:w="1134" w:type="dxa"/>
          </w:tcPr>
          <w:p>
            <w:pPr>
              <w:pStyle w:val="7"/>
              <w:autoSpaceDE w:val="0"/>
              <w:autoSpaceDN w:val="0"/>
              <w:spacing w:before="34"/>
              <w:rPr>
                <w:color w:val="auto"/>
                <w:sz w:val="20"/>
                <w:highlight w:val="none"/>
                <w:lang w:eastAsia="en-US"/>
              </w:rPr>
            </w:pPr>
            <w:r>
              <w:rPr>
                <w:color w:val="auto"/>
                <w:sz w:val="20"/>
                <w:highlight w:val="none"/>
                <w:lang w:eastAsia="en-US"/>
              </w:rPr>
              <w:t>2</w:t>
            </w:r>
          </w:p>
        </w:tc>
        <w:tc>
          <w:tcPr>
            <w:tcW w:w="2347" w:type="dxa"/>
            <w:vMerge w:val="restart"/>
          </w:tcPr>
          <w:p>
            <w:pPr>
              <w:pStyle w:val="7"/>
              <w:autoSpaceDE w:val="0"/>
              <w:autoSpaceDN w:val="0"/>
              <w:spacing w:before="10"/>
              <w:jc w:val="left"/>
              <w:rPr>
                <w:rFonts w:ascii="黑体"/>
                <w:color w:val="auto"/>
                <w:sz w:val="23"/>
                <w:highlight w:val="none"/>
                <w:lang w:eastAsia="en-US"/>
              </w:rPr>
            </w:pPr>
          </w:p>
          <w:p>
            <w:pPr>
              <w:pStyle w:val="7"/>
              <w:autoSpaceDE w:val="0"/>
              <w:autoSpaceDN w:val="0"/>
              <w:spacing w:line="251" w:lineRule="exact"/>
              <w:ind w:left="651" w:right="651"/>
              <w:rPr>
                <w:color w:val="auto"/>
                <w:sz w:val="20"/>
                <w:highlight w:val="none"/>
                <w:lang w:eastAsia="en-US"/>
              </w:rPr>
            </w:pPr>
            <w:r>
              <w:rPr>
                <w:color w:val="auto"/>
                <w:sz w:val="20"/>
                <w:highlight w:val="none"/>
                <w:lang w:eastAsia="en-US"/>
              </w:rPr>
              <w:t>公共学位课</w:t>
            </w:r>
          </w:p>
          <w:p>
            <w:pPr>
              <w:pStyle w:val="7"/>
              <w:autoSpaceDE w:val="0"/>
              <w:autoSpaceDN w:val="0"/>
              <w:spacing w:line="251" w:lineRule="exact"/>
              <w:ind w:left="651" w:right="651"/>
              <w:rPr>
                <w:color w:val="auto"/>
                <w:sz w:val="20"/>
                <w:highlight w:val="none"/>
                <w:lang w:eastAsia="en-US"/>
              </w:rPr>
            </w:pPr>
            <w:r>
              <w:rPr>
                <w:color w:val="auto"/>
                <w:sz w:val="20"/>
                <w:highlight w:val="none"/>
                <w:lang w:eastAsia="en-US"/>
              </w:rPr>
              <w:t>5</w:t>
            </w:r>
            <w:r>
              <w:rPr>
                <w:color w:val="auto"/>
                <w:spacing w:val="-50"/>
                <w:sz w:val="20"/>
                <w:highlight w:val="none"/>
                <w:lang w:eastAsia="en-US"/>
              </w:rPr>
              <w:t xml:space="preserve"> </w:t>
            </w:r>
            <w:r>
              <w:rPr>
                <w:color w:val="auto"/>
                <w:sz w:val="20"/>
                <w:highlight w:val="none"/>
                <w:lang w:eastAsia="en-US"/>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19" w:type="dxa"/>
            <w:vMerge w:val="continue"/>
          </w:tcPr>
          <w:p>
            <w:pPr>
              <w:autoSpaceDE w:val="0"/>
              <w:autoSpaceDN w:val="0"/>
              <w:rPr>
                <w:color w:val="auto"/>
                <w:highlight w:val="none"/>
                <w:lang w:eastAsia="en-US"/>
              </w:rPr>
            </w:pPr>
          </w:p>
        </w:tc>
        <w:tc>
          <w:tcPr>
            <w:tcW w:w="3827" w:type="dxa"/>
          </w:tcPr>
          <w:p>
            <w:pPr>
              <w:pStyle w:val="7"/>
              <w:autoSpaceDE w:val="0"/>
              <w:autoSpaceDN w:val="0"/>
              <w:spacing w:before="34"/>
              <w:ind w:left="791" w:right="791"/>
              <w:rPr>
                <w:color w:val="auto"/>
                <w:sz w:val="20"/>
                <w:highlight w:val="none"/>
                <w:lang w:eastAsia="zh-CN"/>
              </w:rPr>
            </w:pPr>
            <w:r>
              <w:rPr>
                <w:color w:val="auto"/>
                <w:sz w:val="20"/>
                <w:highlight w:val="none"/>
                <w:lang w:eastAsia="zh-CN"/>
              </w:rPr>
              <w:t>中国马克思主义与当代</w:t>
            </w:r>
          </w:p>
        </w:tc>
        <w:tc>
          <w:tcPr>
            <w:tcW w:w="1134" w:type="dxa"/>
          </w:tcPr>
          <w:p>
            <w:pPr>
              <w:pStyle w:val="7"/>
              <w:autoSpaceDE w:val="0"/>
              <w:autoSpaceDN w:val="0"/>
              <w:spacing w:before="34"/>
              <w:rPr>
                <w:color w:val="auto"/>
                <w:sz w:val="20"/>
                <w:highlight w:val="none"/>
                <w:lang w:eastAsia="en-US"/>
              </w:rPr>
            </w:pPr>
            <w:r>
              <w:rPr>
                <w:color w:val="auto"/>
                <w:sz w:val="20"/>
                <w:highlight w:val="none"/>
                <w:lang w:eastAsia="en-US"/>
              </w:rPr>
              <w:t>2</w:t>
            </w:r>
          </w:p>
        </w:tc>
        <w:tc>
          <w:tcPr>
            <w:tcW w:w="2347"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19" w:type="dxa"/>
            <w:vMerge w:val="continue"/>
          </w:tcPr>
          <w:p>
            <w:pPr>
              <w:autoSpaceDE w:val="0"/>
              <w:autoSpaceDN w:val="0"/>
              <w:rPr>
                <w:color w:val="auto"/>
                <w:highlight w:val="none"/>
                <w:lang w:eastAsia="en-US"/>
              </w:rPr>
            </w:pPr>
          </w:p>
        </w:tc>
        <w:tc>
          <w:tcPr>
            <w:tcW w:w="3827" w:type="dxa"/>
          </w:tcPr>
          <w:p>
            <w:pPr>
              <w:pStyle w:val="7"/>
              <w:autoSpaceDE w:val="0"/>
              <w:autoSpaceDN w:val="0"/>
              <w:spacing w:before="34"/>
              <w:ind w:left="791" w:right="791"/>
              <w:rPr>
                <w:color w:val="auto"/>
                <w:sz w:val="20"/>
                <w:highlight w:val="none"/>
                <w:lang w:eastAsia="zh-CN"/>
              </w:rPr>
            </w:pPr>
            <w:r>
              <w:rPr>
                <w:color w:val="auto"/>
                <w:sz w:val="20"/>
                <w:highlight w:val="none"/>
                <w:lang w:eastAsia="zh-CN"/>
              </w:rPr>
              <w:t>学术道德与学术写作规范</w:t>
            </w:r>
          </w:p>
        </w:tc>
        <w:tc>
          <w:tcPr>
            <w:tcW w:w="1134" w:type="dxa"/>
          </w:tcPr>
          <w:p>
            <w:pPr>
              <w:pStyle w:val="7"/>
              <w:autoSpaceDE w:val="0"/>
              <w:autoSpaceDN w:val="0"/>
              <w:spacing w:before="34"/>
              <w:rPr>
                <w:color w:val="auto"/>
                <w:sz w:val="20"/>
                <w:highlight w:val="none"/>
                <w:lang w:eastAsia="en-US"/>
              </w:rPr>
            </w:pPr>
            <w:r>
              <w:rPr>
                <w:color w:val="auto"/>
                <w:sz w:val="20"/>
                <w:highlight w:val="none"/>
                <w:lang w:eastAsia="en-US"/>
              </w:rPr>
              <w:t>1</w:t>
            </w:r>
          </w:p>
        </w:tc>
        <w:tc>
          <w:tcPr>
            <w:tcW w:w="2347"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19" w:type="dxa"/>
            <w:vMerge w:val="restart"/>
          </w:tcPr>
          <w:p>
            <w:pPr>
              <w:pStyle w:val="7"/>
              <w:autoSpaceDE w:val="0"/>
              <w:autoSpaceDN w:val="0"/>
              <w:jc w:val="left"/>
              <w:rPr>
                <w:rFonts w:ascii="黑体"/>
                <w:color w:val="auto"/>
                <w:sz w:val="20"/>
                <w:highlight w:val="none"/>
                <w:lang w:eastAsia="en-US"/>
              </w:rPr>
            </w:pPr>
          </w:p>
          <w:p>
            <w:pPr>
              <w:pStyle w:val="7"/>
              <w:autoSpaceDE w:val="0"/>
              <w:autoSpaceDN w:val="0"/>
              <w:spacing w:before="169"/>
              <w:ind w:left="656"/>
              <w:jc w:val="left"/>
              <w:rPr>
                <w:color w:val="auto"/>
                <w:sz w:val="20"/>
                <w:highlight w:val="none"/>
                <w:lang w:eastAsia="en-US"/>
              </w:rPr>
            </w:pPr>
            <w:r>
              <w:rPr>
                <w:color w:val="auto"/>
                <w:sz w:val="20"/>
                <w:highlight w:val="none"/>
                <w:lang w:eastAsia="en-US"/>
              </w:rPr>
              <w:t>专业学位课</w:t>
            </w:r>
          </w:p>
        </w:tc>
        <w:tc>
          <w:tcPr>
            <w:tcW w:w="3827" w:type="dxa"/>
          </w:tcPr>
          <w:p>
            <w:pPr>
              <w:pStyle w:val="7"/>
              <w:autoSpaceDE w:val="0"/>
              <w:autoSpaceDN w:val="0"/>
              <w:spacing w:before="34"/>
              <w:ind w:left="791" w:right="791"/>
              <w:rPr>
                <w:color w:val="auto"/>
                <w:sz w:val="20"/>
                <w:highlight w:val="none"/>
                <w:lang w:eastAsia="en-US"/>
              </w:rPr>
            </w:pPr>
            <w:r>
              <w:rPr>
                <w:color w:val="auto"/>
                <w:sz w:val="20"/>
                <w:highlight w:val="none"/>
                <w:lang w:eastAsia="en-US"/>
              </w:rPr>
              <w:t>核心课</w:t>
            </w:r>
          </w:p>
        </w:tc>
        <w:tc>
          <w:tcPr>
            <w:tcW w:w="1134" w:type="dxa"/>
          </w:tcPr>
          <w:p>
            <w:pPr>
              <w:autoSpaceDE w:val="0"/>
              <w:autoSpaceDN w:val="0"/>
              <w:rPr>
                <w:color w:val="auto"/>
                <w:highlight w:val="none"/>
                <w:lang w:eastAsia="en-US"/>
              </w:rPr>
            </w:pPr>
          </w:p>
        </w:tc>
        <w:tc>
          <w:tcPr>
            <w:tcW w:w="2347" w:type="dxa"/>
            <w:vMerge w:val="restart"/>
          </w:tcPr>
          <w:p>
            <w:pPr>
              <w:pStyle w:val="7"/>
              <w:autoSpaceDE w:val="0"/>
              <w:autoSpaceDN w:val="0"/>
              <w:spacing w:before="12"/>
              <w:jc w:val="left"/>
              <w:rPr>
                <w:rFonts w:ascii="黑体"/>
                <w:color w:val="auto"/>
                <w:sz w:val="26"/>
                <w:highlight w:val="none"/>
                <w:lang w:eastAsia="zh-CN"/>
              </w:rPr>
            </w:pPr>
          </w:p>
          <w:p>
            <w:pPr>
              <w:pStyle w:val="7"/>
              <w:autoSpaceDE w:val="0"/>
              <w:autoSpaceDN w:val="0"/>
              <w:spacing w:line="240" w:lineRule="exact"/>
              <w:ind w:left="570" w:right="69" w:hanging="500"/>
              <w:jc w:val="left"/>
              <w:rPr>
                <w:color w:val="auto"/>
                <w:sz w:val="20"/>
                <w:highlight w:val="none"/>
                <w:lang w:eastAsia="zh-CN"/>
              </w:rPr>
            </w:pPr>
            <w:r>
              <w:rPr>
                <w:color w:val="auto"/>
                <w:sz w:val="20"/>
                <w:highlight w:val="none"/>
                <w:lang w:eastAsia="zh-CN"/>
              </w:rPr>
              <w:t>专业学位课不少于 2 门，不低于</w:t>
            </w:r>
            <w:r>
              <w:rPr>
                <w:color w:val="auto"/>
                <w:spacing w:val="-50"/>
                <w:sz w:val="20"/>
                <w:highlight w:val="none"/>
                <w:lang w:eastAsia="zh-CN"/>
              </w:rPr>
              <w:t xml:space="preserve"> </w:t>
            </w:r>
            <w:r>
              <w:rPr>
                <w:color w:val="auto"/>
                <w:sz w:val="20"/>
                <w:highlight w:val="none"/>
                <w:lang w:eastAsia="zh-CN"/>
              </w:rPr>
              <w:t>4</w:t>
            </w:r>
            <w:r>
              <w:rPr>
                <w:color w:val="auto"/>
                <w:spacing w:val="-50"/>
                <w:sz w:val="20"/>
                <w:highlight w:val="none"/>
                <w:lang w:eastAsia="zh-CN"/>
              </w:rPr>
              <w:t xml:space="preserve"> </w:t>
            </w:r>
            <w:r>
              <w:rPr>
                <w:color w:val="auto"/>
                <w:sz w:val="20"/>
                <w:highlight w:val="none"/>
                <w:lang w:eastAsia="zh-CN"/>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19" w:type="dxa"/>
            <w:vMerge w:val="continue"/>
          </w:tcPr>
          <w:p>
            <w:pPr>
              <w:autoSpaceDE w:val="0"/>
              <w:autoSpaceDN w:val="0"/>
              <w:rPr>
                <w:color w:val="auto"/>
                <w:highlight w:val="none"/>
                <w:lang w:eastAsia="zh-CN"/>
              </w:rPr>
            </w:pPr>
          </w:p>
        </w:tc>
        <w:tc>
          <w:tcPr>
            <w:tcW w:w="3827" w:type="dxa"/>
          </w:tcPr>
          <w:p>
            <w:pPr>
              <w:pStyle w:val="7"/>
              <w:autoSpaceDE w:val="0"/>
              <w:autoSpaceDN w:val="0"/>
              <w:spacing w:before="34"/>
              <w:ind w:left="791" w:right="791"/>
              <w:rPr>
                <w:color w:val="auto"/>
                <w:sz w:val="20"/>
                <w:highlight w:val="none"/>
                <w:lang w:eastAsia="en-US"/>
              </w:rPr>
            </w:pPr>
            <w:r>
              <w:rPr>
                <w:color w:val="auto"/>
                <w:sz w:val="20"/>
                <w:highlight w:val="none"/>
                <w:lang w:eastAsia="en-US"/>
              </w:rPr>
              <w:t>普及课</w:t>
            </w:r>
          </w:p>
        </w:tc>
        <w:tc>
          <w:tcPr>
            <w:tcW w:w="1134" w:type="dxa"/>
          </w:tcPr>
          <w:p>
            <w:pPr>
              <w:autoSpaceDE w:val="0"/>
              <w:autoSpaceDN w:val="0"/>
              <w:rPr>
                <w:color w:val="auto"/>
                <w:highlight w:val="none"/>
                <w:lang w:eastAsia="en-US"/>
              </w:rPr>
            </w:pPr>
          </w:p>
        </w:tc>
        <w:tc>
          <w:tcPr>
            <w:tcW w:w="2347" w:type="dxa"/>
            <w:vMerge w:val="continue"/>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319" w:type="dxa"/>
            <w:vMerge w:val="continue"/>
          </w:tcPr>
          <w:p>
            <w:pPr>
              <w:autoSpaceDE w:val="0"/>
              <w:autoSpaceDN w:val="0"/>
              <w:rPr>
                <w:color w:val="auto"/>
                <w:highlight w:val="none"/>
                <w:lang w:eastAsia="en-US"/>
              </w:rPr>
            </w:pPr>
          </w:p>
        </w:tc>
        <w:tc>
          <w:tcPr>
            <w:tcW w:w="3827" w:type="dxa"/>
          </w:tcPr>
          <w:p>
            <w:pPr>
              <w:pStyle w:val="7"/>
              <w:autoSpaceDE w:val="0"/>
              <w:autoSpaceDN w:val="0"/>
              <w:spacing w:before="34"/>
              <w:ind w:left="791" w:right="791"/>
              <w:rPr>
                <w:color w:val="auto"/>
                <w:sz w:val="20"/>
                <w:highlight w:val="none"/>
                <w:lang w:eastAsia="en-US"/>
              </w:rPr>
            </w:pPr>
            <w:r>
              <w:rPr>
                <w:color w:val="auto"/>
                <w:sz w:val="20"/>
                <w:highlight w:val="none"/>
                <w:lang w:eastAsia="en-US"/>
              </w:rPr>
              <w:t>研讨课</w:t>
            </w:r>
          </w:p>
        </w:tc>
        <w:tc>
          <w:tcPr>
            <w:tcW w:w="1134" w:type="dxa"/>
          </w:tcPr>
          <w:p>
            <w:pPr>
              <w:autoSpaceDE w:val="0"/>
              <w:autoSpaceDN w:val="0"/>
              <w:rPr>
                <w:color w:val="auto"/>
                <w:highlight w:val="none"/>
                <w:lang w:eastAsia="en-US"/>
              </w:rPr>
            </w:pPr>
          </w:p>
        </w:tc>
        <w:tc>
          <w:tcPr>
            <w:tcW w:w="2347" w:type="dxa"/>
            <w:vMerge w:val="continue"/>
          </w:tcPr>
          <w:p>
            <w:pPr>
              <w:autoSpaceDE w:val="0"/>
              <w:autoSpaceDN w:val="0"/>
              <w:rPr>
                <w:color w:val="auto"/>
                <w:highlight w:val="none"/>
                <w:lang w:eastAsia="en-US"/>
              </w:rPr>
            </w:pPr>
          </w:p>
        </w:tc>
      </w:tr>
    </w:tbl>
    <w:p>
      <w:pPr>
        <w:spacing w:line="420" w:lineRule="exact"/>
        <w:ind w:firstLine="2400" w:firstLineChars="1000"/>
        <w:rPr>
          <w:color w:val="auto"/>
          <w:sz w:val="24"/>
          <w:highlight w:val="none"/>
        </w:rPr>
      </w:pPr>
      <w:r>
        <w:rPr>
          <w:rFonts w:hint="eastAsia"/>
          <w:color w:val="auto"/>
          <w:sz w:val="24"/>
          <w:highlight w:val="none"/>
        </w:rPr>
        <w:t>表3 公开招收博士生课程体系</w:t>
      </w:r>
    </w:p>
    <w:p>
      <w:pPr>
        <w:spacing w:line="420" w:lineRule="exact"/>
        <w:ind w:firstLine="480" w:firstLineChars="200"/>
        <w:rPr>
          <w:color w:val="auto"/>
          <w:sz w:val="24"/>
          <w:highlight w:val="none"/>
        </w:rPr>
      </w:pPr>
    </w:p>
    <w:p>
      <w:pPr>
        <w:spacing w:line="420" w:lineRule="exact"/>
        <w:rPr>
          <w:color w:val="auto"/>
          <w:sz w:val="24"/>
          <w:highlight w:val="none"/>
        </w:rPr>
      </w:pPr>
      <w:r>
        <w:rPr>
          <w:rFonts w:hint="eastAsia"/>
          <w:color w:val="auto"/>
          <w:sz w:val="24"/>
          <w:highlight w:val="none"/>
        </w:rPr>
        <w:t>注：具体课程参考每学期中国科学院大学课程开设表，相关课程体系遵照学校课程设置方案执行。</w:t>
      </w:r>
    </w:p>
    <w:p>
      <w:pPr>
        <w:spacing w:line="420" w:lineRule="exact"/>
        <w:rPr>
          <w:color w:val="auto"/>
          <w:sz w:val="24"/>
          <w:highlight w:val="none"/>
        </w:rPr>
      </w:pPr>
    </w:p>
    <w:p>
      <w:pPr>
        <w:spacing w:line="420" w:lineRule="exact"/>
        <w:rPr>
          <w:b/>
          <w:bCs/>
          <w:color w:val="auto"/>
          <w:sz w:val="24"/>
          <w:highlight w:val="none"/>
        </w:rPr>
      </w:pPr>
      <w:r>
        <w:rPr>
          <w:rFonts w:hint="eastAsia"/>
          <w:b/>
          <w:bCs/>
          <w:color w:val="auto"/>
          <w:sz w:val="24"/>
          <w:highlight w:val="none"/>
        </w:rPr>
        <w:t>五、需阅读的主要经典著作和专业学术期刊目录</w:t>
      </w:r>
    </w:p>
    <w:p>
      <w:pPr>
        <w:spacing w:line="420" w:lineRule="exact"/>
        <w:ind w:firstLine="480" w:firstLineChars="200"/>
        <w:rPr>
          <w:color w:val="auto"/>
          <w:sz w:val="24"/>
          <w:highlight w:val="none"/>
        </w:rPr>
      </w:pPr>
      <w:r>
        <w:rPr>
          <w:rFonts w:hint="eastAsia"/>
          <w:color w:val="auto"/>
          <w:sz w:val="24"/>
          <w:highlight w:val="none"/>
        </w:rPr>
        <w:t>博士研究生应阅读一定数量的经典著作，应经常广泛阅读本专业学术期刊（国际、国内）。经典著作和学术期刊目录可由各学科博士生导师（组）根据培养需要提出具体要求。</w:t>
      </w:r>
    </w:p>
    <w:p>
      <w:pPr>
        <w:spacing w:line="420" w:lineRule="exact"/>
        <w:ind w:firstLine="480" w:firstLineChars="200"/>
        <w:rPr>
          <w:color w:val="auto"/>
          <w:sz w:val="24"/>
          <w:highlight w:val="none"/>
        </w:rPr>
      </w:pPr>
    </w:p>
    <w:p>
      <w:pPr>
        <w:spacing w:line="420" w:lineRule="exact"/>
        <w:rPr>
          <w:b/>
          <w:bCs/>
          <w:color w:val="auto"/>
          <w:sz w:val="24"/>
          <w:highlight w:val="none"/>
        </w:rPr>
      </w:pPr>
      <w:r>
        <w:rPr>
          <w:rFonts w:hint="eastAsia"/>
          <w:b/>
          <w:bCs/>
          <w:color w:val="auto"/>
          <w:sz w:val="24"/>
          <w:highlight w:val="none"/>
        </w:rPr>
        <w:t>六、博士资格考试的基本要求</w:t>
      </w:r>
    </w:p>
    <w:p>
      <w:pPr>
        <w:spacing w:line="420" w:lineRule="exact"/>
        <w:ind w:firstLine="480" w:firstLineChars="200"/>
        <w:rPr>
          <w:color w:val="auto"/>
          <w:sz w:val="24"/>
          <w:highlight w:val="none"/>
        </w:rPr>
      </w:pPr>
      <w:r>
        <w:rPr>
          <w:rFonts w:hint="eastAsia"/>
          <w:color w:val="auto"/>
          <w:sz w:val="24"/>
          <w:highlight w:val="none"/>
        </w:rPr>
        <w:t>博士研究生资格考核是博士研究生正式进入学位论文研究阶段前的一次综合考核。博士资格考核重点考察博士研究生是否掌握了坚实和宽广的学科基础和专门知识；是否能综合运用这些知识分析和解决问题；是否具备进行创新性研究工作的能力。</w:t>
      </w:r>
    </w:p>
    <w:p>
      <w:pPr>
        <w:spacing w:line="420" w:lineRule="exact"/>
        <w:rPr>
          <w:b/>
          <w:bCs/>
          <w:color w:val="auto"/>
          <w:sz w:val="24"/>
          <w:highlight w:val="none"/>
        </w:rPr>
      </w:pPr>
      <w:r>
        <w:rPr>
          <w:rFonts w:hint="eastAsia"/>
          <w:b/>
          <w:bCs/>
          <w:color w:val="auto"/>
          <w:sz w:val="24"/>
          <w:highlight w:val="none"/>
        </w:rPr>
        <w:t>（一）硕博连读研究生博士资格考核的基本要求</w:t>
      </w:r>
    </w:p>
    <w:p>
      <w:pPr>
        <w:spacing w:line="420" w:lineRule="exact"/>
        <w:rPr>
          <w:color w:val="auto"/>
          <w:sz w:val="24"/>
          <w:highlight w:val="none"/>
        </w:rPr>
      </w:pPr>
      <w:r>
        <w:rPr>
          <w:rFonts w:hint="eastAsia"/>
          <w:color w:val="auto"/>
          <w:sz w:val="24"/>
          <w:highlight w:val="none"/>
        </w:rPr>
        <w:t>考核时间：硕博连读研究生资格考核在其进入研究生学习后第四学期至第五学期进行。</w:t>
      </w:r>
    </w:p>
    <w:p>
      <w:pPr>
        <w:spacing w:line="420" w:lineRule="exact"/>
        <w:rPr>
          <w:color w:val="auto"/>
          <w:sz w:val="24"/>
          <w:highlight w:val="none"/>
        </w:rPr>
      </w:pPr>
      <w:r>
        <w:rPr>
          <w:rFonts w:hint="eastAsia"/>
          <w:color w:val="auto"/>
          <w:sz w:val="24"/>
          <w:highlight w:val="none"/>
        </w:rPr>
        <w:t>考核方式：</w:t>
      </w:r>
    </w:p>
    <w:p>
      <w:pPr>
        <w:spacing w:line="420" w:lineRule="exact"/>
        <w:rPr>
          <w:color w:val="auto"/>
          <w:sz w:val="24"/>
          <w:highlight w:val="none"/>
        </w:rPr>
      </w:pPr>
      <w:r>
        <w:rPr>
          <w:rFonts w:hint="eastAsia"/>
          <w:color w:val="auto"/>
          <w:sz w:val="24"/>
          <w:highlight w:val="none"/>
        </w:rPr>
        <w:t>1.思想品德考核由研究生思想政治工作领导小组进行，根据学生平时表现做出评语。</w:t>
      </w:r>
    </w:p>
    <w:p>
      <w:pPr>
        <w:spacing w:line="420" w:lineRule="exact"/>
        <w:rPr>
          <w:color w:val="auto"/>
          <w:sz w:val="24"/>
          <w:highlight w:val="none"/>
        </w:rPr>
      </w:pPr>
      <w:r>
        <w:rPr>
          <w:rFonts w:hint="eastAsia"/>
          <w:color w:val="auto"/>
          <w:sz w:val="24"/>
          <w:highlight w:val="none"/>
        </w:rPr>
        <w:t>2.科研考核：根据研究生科研进展情况选定报告内容，汇报主要为文献综述报告、学科专业读书报告、博士学位论文选题研究报告、博士学位论文的开题报告等。考核小组根据学生思想品德、课程学习和学科综合考试成绩、科研能力以优秀、良好、合格、不合格综合评定考核成绩。重点考察研究生的科研能力。</w:t>
      </w:r>
    </w:p>
    <w:p>
      <w:pPr>
        <w:spacing w:line="420" w:lineRule="exact"/>
        <w:rPr>
          <w:color w:val="auto"/>
          <w:sz w:val="24"/>
          <w:highlight w:val="none"/>
        </w:rPr>
      </w:pPr>
      <w:r>
        <w:rPr>
          <w:rFonts w:hint="eastAsia"/>
          <w:color w:val="auto"/>
          <w:sz w:val="24"/>
          <w:highlight w:val="none"/>
        </w:rPr>
        <w:t>考核内容：</w:t>
      </w:r>
    </w:p>
    <w:p>
      <w:pPr>
        <w:spacing w:line="420" w:lineRule="exact"/>
        <w:rPr>
          <w:color w:val="auto"/>
          <w:sz w:val="24"/>
          <w:highlight w:val="none"/>
        </w:rPr>
      </w:pPr>
      <w:r>
        <w:rPr>
          <w:rFonts w:hint="eastAsia"/>
          <w:color w:val="auto"/>
          <w:sz w:val="24"/>
          <w:highlight w:val="none"/>
        </w:rPr>
        <w:t>1.思想品德考核：主要考核学生在校期间是否遵纪守法, 品行是否端正, 学风是否严谨；</w:t>
      </w:r>
    </w:p>
    <w:p>
      <w:pPr>
        <w:spacing w:line="420" w:lineRule="exact"/>
        <w:rPr>
          <w:color w:val="auto"/>
          <w:sz w:val="24"/>
          <w:highlight w:val="none"/>
        </w:rPr>
      </w:pPr>
      <w:r>
        <w:rPr>
          <w:rFonts w:hint="eastAsia"/>
          <w:color w:val="auto"/>
          <w:sz w:val="24"/>
          <w:highlight w:val="none"/>
        </w:rPr>
        <w:t>2.课程考核：主要考核学生专业课程学习情况以及学生对学科前沿知识掌握的程度；</w:t>
      </w:r>
    </w:p>
    <w:p>
      <w:pPr>
        <w:spacing w:line="420" w:lineRule="exact"/>
        <w:rPr>
          <w:color w:val="auto"/>
          <w:sz w:val="24"/>
          <w:highlight w:val="none"/>
        </w:rPr>
      </w:pPr>
      <w:r>
        <w:rPr>
          <w:rFonts w:hint="eastAsia"/>
          <w:color w:val="auto"/>
          <w:sz w:val="24"/>
          <w:highlight w:val="none"/>
        </w:rPr>
        <w:t>3.科研能力考核：主要考核学生进行创新性科学研究的能力。考核标准：考核合格者进入博士论文研究阶段。</w:t>
      </w:r>
    </w:p>
    <w:p>
      <w:pPr>
        <w:spacing w:line="420" w:lineRule="exact"/>
        <w:rPr>
          <w:color w:val="auto"/>
          <w:sz w:val="24"/>
          <w:highlight w:val="none"/>
        </w:rPr>
      </w:pPr>
      <w:r>
        <w:rPr>
          <w:rFonts w:hint="eastAsia"/>
          <w:color w:val="auto"/>
          <w:sz w:val="24"/>
          <w:highlight w:val="none"/>
        </w:rPr>
        <w:t>考核形式：考核需公开、公正、公平进行。聘请 3 － 5 位专家组成博士资格考核委员会对硕博连读博士研究生进行考核。</w:t>
      </w:r>
    </w:p>
    <w:p>
      <w:pPr>
        <w:numPr>
          <w:ilvl w:val="0"/>
          <w:numId w:val="5"/>
        </w:numPr>
        <w:spacing w:line="420" w:lineRule="exact"/>
        <w:rPr>
          <w:b/>
          <w:bCs/>
          <w:color w:val="auto"/>
          <w:sz w:val="24"/>
          <w:highlight w:val="none"/>
        </w:rPr>
      </w:pPr>
      <w:r>
        <w:rPr>
          <w:rFonts w:hint="eastAsia"/>
          <w:b/>
          <w:bCs/>
          <w:color w:val="auto"/>
          <w:sz w:val="24"/>
          <w:highlight w:val="none"/>
        </w:rPr>
        <w:t>直接攻博研究生的博士资格考核的基本要求可参照硕博连读研究生博士资格考核的基本要求。</w:t>
      </w:r>
    </w:p>
    <w:p>
      <w:pPr>
        <w:spacing w:line="420" w:lineRule="exact"/>
        <w:rPr>
          <w:color w:val="auto"/>
          <w:sz w:val="24"/>
          <w:highlight w:val="none"/>
        </w:rPr>
      </w:pPr>
    </w:p>
    <w:p>
      <w:pPr>
        <w:spacing w:line="420" w:lineRule="exact"/>
        <w:rPr>
          <w:b/>
          <w:bCs/>
          <w:color w:val="auto"/>
          <w:sz w:val="24"/>
          <w:highlight w:val="none"/>
        </w:rPr>
      </w:pPr>
      <w:r>
        <w:rPr>
          <w:rFonts w:hint="eastAsia"/>
          <w:b/>
          <w:bCs/>
          <w:color w:val="auto"/>
          <w:sz w:val="24"/>
          <w:highlight w:val="none"/>
        </w:rPr>
        <w:t>七、必修环节及要求</w:t>
      </w:r>
    </w:p>
    <w:p>
      <w:pPr>
        <w:spacing w:line="420" w:lineRule="exact"/>
        <w:rPr>
          <w:color w:val="auto"/>
          <w:sz w:val="24"/>
          <w:highlight w:val="none"/>
        </w:rPr>
      </w:pPr>
      <w:r>
        <w:rPr>
          <w:rFonts w:hint="eastAsia"/>
          <w:color w:val="auto"/>
          <w:sz w:val="24"/>
          <w:highlight w:val="none"/>
        </w:rPr>
        <w:t>博士研究生培养的必修环节包括开题报告、中期考核、学术报告和社会实践等，必修环节的总学分不低于 6学分。博士生开题报告距离申请学位论文答辩的时间一般不少于一年半。</w:t>
      </w:r>
    </w:p>
    <w:p>
      <w:pPr>
        <w:spacing w:line="420" w:lineRule="exact"/>
        <w:rPr>
          <w:color w:val="auto"/>
          <w:sz w:val="24"/>
          <w:highlight w:val="none"/>
        </w:rPr>
      </w:pPr>
      <w:r>
        <w:rPr>
          <w:rFonts w:hint="eastAsia"/>
          <w:b/>
          <w:bCs/>
          <w:color w:val="auto"/>
          <w:sz w:val="24"/>
          <w:highlight w:val="none"/>
        </w:rPr>
        <w:t>1．开题报告</w:t>
      </w:r>
      <w:r>
        <w:rPr>
          <w:rFonts w:hint="eastAsia" w:ascii="宋体" w:hAnsi="宋体"/>
          <w:b/>
          <w:bCs/>
          <w:color w:val="auto"/>
          <w:sz w:val="24"/>
          <w:highlight w:val="none"/>
        </w:rPr>
        <w:t>（2学分）</w:t>
      </w:r>
      <w:r>
        <w:rPr>
          <w:rFonts w:hint="eastAsia"/>
          <w:color w:val="auto"/>
          <w:sz w:val="24"/>
          <w:highlight w:val="none"/>
        </w:rPr>
        <w:t>。研究生在广泛调查研究、阅读文献资料、掌握理解主攻方向上的前沿成果和发展动态的基础上，在征求导师（组）意见后，提出学位论文的选题。选题应尽可能对学术发展、经济建设和社会进步有重要意义。研究生应在规定的时间内，撰写《中国科学院大学研究生学位论文开题报告》和《中国科学院大学研究生学位论文开题报告登记表》，开题报告包括选题的背景意义、国内外研究动态及发展趋势、主要研究内容、拟采取的技术路线及研究方法、预期成果、论文工作时间安排等方面。经导师同意后，方可进行开题报告。除涉密论文外，开题报告公开进行。博士研究生开题报告距离申请学位论文答辩的时间一般不少于一年半。</w:t>
      </w:r>
    </w:p>
    <w:p>
      <w:pPr>
        <w:spacing w:line="420" w:lineRule="exact"/>
        <w:rPr>
          <w:color w:val="auto"/>
          <w:sz w:val="24"/>
          <w:highlight w:val="none"/>
        </w:rPr>
      </w:pPr>
      <w:r>
        <w:rPr>
          <w:rFonts w:hint="eastAsia"/>
          <w:b/>
          <w:bCs/>
          <w:color w:val="auto"/>
          <w:sz w:val="24"/>
          <w:highlight w:val="none"/>
        </w:rPr>
        <w:t>2．中期考核</w:t>
      </w:r>
      <w:r>
        <w:rPr>
          <w:rFonts w:hint="eastAsia" w:ascii="宋体" w:hAnsi="宋体"/>
          <w:b/>
          <w:bCs/>
          <w:color w:val="auto"/>
          <w:sz w:val="24"/>
          <w:highlight w:val="none"/>
        </w:rPr>
        <w:t>（2学分）</w:t>
      </w:r>
      <w:r>
        <w:rPr>
          <w:rFonts w:hint="eastAsia"/>
          <w:color w:val="auto"/>
          <w:sz w:val="24"/>
          <w:highlight w:val="none"/>
        </w:rPr>
        <w:t>。主要考核研究生在培养期间论文工作进展情况、取得的阶段性成果、存在主要问题、拟解决的途径、下一步工作计划及论文预计完成时间等。研究生需撰写《中国科学院大学研究生学位论文中期报告》和《中国科学院大学研究生学位论文中期考核登记表》，经导师审核同意后，方可进行中期考核。除涉密论文外，中期考核应公开进行。中期考核距离申请学位文答辩的时间一般不得少于半年。博士研究生可在中期考核环节中进行一定比例必要的分流。</w:t>
      </w:r>
    </w:p>
    <w:p>
      <w:pPr>
        <w:spacing w:line="420" w:lineRule="exact"/>
        <w:rPr>
          <w:color w:val="auto"/>
          <w:sz w:val="24"/>
          <w:highlight w:val="none"/>
        </w:rPr>
      </w:pPr>
      <w:r>
        <w:rPr>
          <w:rFonts w:hint="eastAsia"/>
          <w:b/>
          <w:bCs/>
          <w:color w:val="auto"/>
          <w:sz w:val="24"/>
          <w:highlight w:val="none"/>
        </w:rPr>
        <w:t>3．学术报告和社会实践</w:t>
      </w:r>
      <w:r>
        <w:rPr>
          <w:rFonts w:hint="eastAsia" w:ascii="宋体" w:hAnsi="宋体"/>
          <w:b/>
          <w:bCs/>
          <w:color w:val="auto"/>
          <w:sz w:val="24"/>
          <w:highlight w:val="none"/>
        </w:rPr>
        <w:t>（2学分）</w:t>
      </w:r>
      <w:r>
        <w:rPr>
          <w:rFonts w:hint="eastAsia"/>
          <w:color w:val="auto"/>
          <w:sz w:val="24"/>
          <w:highlight w:val="none"/>
        </w:rPr>
        <w:t>。为了促使研究生能主动关心和了解国内外本学科前沿的发展动态，开阔视野，启发创造力。要求每个博士研究生，在学期间应参加一定数量的学术报告和社会实践活动。参加学术报告和社会实践的情况均应记录在《中国科学院大学研究生学术报告及社会实践登记表》中，申请答辩前由导师签字认可后提交研究生部备案。</w:t>
      </w:r>
    </w:p>
    <w:p>
      <w:pPr>
        <w:spacing w:line="420" w:lineRule="exact"/>
        <w:rPr>
          <w:color w:val="auto"/>
          <w:sz w:val="24"/>
          <w:highlight w:val="none"/>
        </w:rPr>
      </w:pPr>
    </w:p>
    <w:p>
      <w:pPr>
        <w:spacing w:line="420" w:lineRule="exact"/>
        <w:rPr>
          <w:b/>
          <w:bCs/>
          <w:color w:val="auto"/>
          <w:sz w:val="24"/>
          <w:highlight w:val="none"/>
        </w:rPr>
      </w:pPr>
      <w:r>
        <w:rPr>
          <w:rFonts w:hint="eastAsia"/>
          <w:b/>
          <w:bCs/>
          <w:color w:val="auto"/>
          <w:sz w:val="24"/>
          <w:highlight w:val="none"/>
        </w:rPr>
        <w:t>八、科研能力与水平及学位论文的基本要求</w:t>
      </w:r>
    </w:p>
    <w:p>
      <w:pPr>
        <w:spacing w:line="420" w:lineRule="exact"/>
        <w:ind w:firstLine="480" w:firstLineChars="200"/>
        <w:rPr>
          <w:color w:val="auto"/>
          <w:sz w:val="24"/>
          <w:highlight w:val="none"/>
        </w:rPr>
      </w:pPr>
      <w:r>
        <w:rPr>
          <w:rFonts w:hint="eastAsia"/>
          <w:color w:val="auto"/>
          <w:sz w:val="24"/>
          <w:highlight w:val="none"/>
        </w:rPr>
        <w:t>科研能力及水平的基本要求参见本学科博士学位基本要求。学位论文的撰写要求见《中国科学院大学学位论文撰写要求》。</w:t>
      </w:r>
    </w:p>
    <w:p>
      <w:pPr>
        <w:spacing w:line="420" w:lineRule="exact"/>
        <w:rPr>
          <w:color w:val="auto"/>
          <w:sz w:val="24"/>
          <w:highlight w:val="none"/>
        </w:rPr>
      </w:pPr>
    </w:p>
    <w:p>
      <w:pPr>
        <w:spacing w:line="420" w:lineRule="exact"/>
        <w:rPr>
          <w:color w:val="auto"/>
          <w:sz w:val="24"/>
          <w:highlight w:val="none"/>
        </w:rPr>
      </w:pPr>
      <w:r>
        <w:rPr>
          <w:rFonts w:hint="eastAsia"/>
          <w:color w:val="auto"/>
          <w:sz w:val="24"/>
          <w:highlight w:val="none"/>
        </w:rPr>
        <w:t xml:space="preserve">附表 1材料物理与化学学科研究生专业课程设置一览表 </w:t>
      </w:r>
      <w:bookmarkStart w:id="0" w:name="_GoBack"/>
      <w:bookmarkEnd w:id="0"/>
    </w:p>
    <w:tbl>
      <w:tblPr>
        <w:tblStyle w:val="8"/>
        <w:tblW w:w="0" w:type="auto"/>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1"/>
        <w:gridCol w:w="4339"/>
        <w:gridCol w:w="993"/>
        <w:gridCol w:w="992"/>
        <w:gridCol w:w="1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951" w:type="dxa"/>
          </w:tcPr>
          <w:p>
            <w:pPr>
              <w:pStyle w:val="7"/>
              <w:autoSpaceDE w:val="0"/>
              <w:autoSpaceDN w:val="0"/>
              <w:spacing w:before="46"/>
              <w:ind w:left="533"/>
              <w:jc w:val="left"/>
              <w:rPr>
                <w:rFonts w:ascii="黑体" w:eastAsia="黑体"/>
                <w:color w:val="auto"/>
                <w:highlight w:val="none"/>
                <w:lang w:eastAsia="en-US"/>
              </w:rPr>
            </w:pPr>
            <w:r>
              <w:rPr>
                <w:rFonts w:hint="eastAsia" w:ascii="黑体" w:eastAsia="黑体"/>
                <w:color w:val="auto"/>
                <w:highlight w:val="none"/>
                <w:lang w:eastAsia="en-US"/>
              </w:rPr>
              <w:t>课程属性</w:t>
            </w:r>
          </w:p>
        </w:tc>
        <w:tc>
          <w:tcPr>
            <w:tcW w:w="4339" w:type="dxa"/>
          </w:tcPr>
          <w:p>
            <w:pPr>
              <w:pStyle w:val="7"/>
              <w:autoSpaceDE w:val="0"/>
              <w:autoSpaceDN w:val="0"/>
              <w:spacing w:before="46"/>
              <w:ind w:left="147" w:right="147"/>
              <w:rPr>
                <w:rFonts w:ascii="黑体" w:eastAsia="黑体"/>
                <w:color w:val="auto"/>
                <w:highlight w:val="none"/>
                <w:lang w:eastAsia="en-US"/>
              </w:rPr>
            </w:pPr>
            <w:r>
              <w:rPr>
                <w:rFonts w:hint="eastAsia" w:ascii="黑体" w:eastAsia="黑体"/>
                <w:color w:val="auto"/>
                <w:highlight w:val="none"/>
                <w:lang w:eastAsia="en-US"/>
              </w:rPr>
              <w:t>课程名称</w:t>
            </w:r>
          </w:p>
        </w:tc>
        <w:tc>
          <w:tcPr>
            <w:tcW w:w="993" w:type="dxa"/>
          </w:tcPr>
          <w:p>
            <w:pPr>
              <w:pStyle w:val="7"/>
              <w:autoSpaceDE w:val="0"/>
              <w:autoSpaceDN w:val="0"/>
              <w:spacing w:before="46"/>
              <w:ind w:left="34" w:right="34"/>
              <w:rPr>
                <w:rFonts w:ascii="黑体" w:eastAsia="黑体"/>
                <w:color w:val="auto"/>
                <w:highlight w:val="none"/>
                <w:lang w:eastAsia="en-US"/>
              </w:rPr>
            </w:pPr>
            <w:r>
              <w:rPr>
                <w:rFonts w:hint="eastAsia" w:ascii="黑体" w:eastAsia="黑体"/>
                <w:color w:val="auto"/>
                <w:highlight w:val="none"/>
                <w:lang w:eastAsia="en-US"/>
              </w:rPr>
              <w:t>学时</w:t>
            </w:r>
          </w:p>
        </w:tc>
        <w:tc>
          <w:tcPr>
            <w:tcW w:w="992" w:type="dxa"/>
          </w:tcPr>
          <w:p>
            <w:pPr>
              <w:pStyle w:val="7"/>
              <w:autoSpaceDE w:val="0"/>
              <w:autoSpaceDN w:val="0"/>
              <w:spacing w:before="46"/>
              <w:ind w:left="253" w:right="253"/>
              <w:rPr>
                <w:rFonts w:ascii="黑体" w:eastAsia="黑体"/>
                <w:color w:val="auto"/>
                <w:highlight w:val="none"/>
                <w:lang w:eastAsia="en-US"/>
              </w:rPr>
            </w:pPr>
            <w:r>
              <w:rPr>
                <w:rFonts w:hint="eastAsia" w:ascii="黑体" w:eastAsia="黑体"/>
                <w:color w:val="auto"/>
                <w:highlight w:val="none"/>
                <w:lang w:eastAsia="en-US"/>
              </w:rPr>
              <w:t>学分</w:t>
            </w:r>
          </w:p>
        </w:tc>
        <w:tc>
          <w:tcPr>
            <w:tcW w:w="1326" w:type="dxa"/>
          </w:tcPr>
          <w:p>
            <w:pPr>
              <w:pStyle w:val="7"/>
              <w:autoSpaceDE w:val="0"/>
              <w:autoSpaceDN w:val="0"/>
              <w:spacing w:before="46"/>
              <w:ind w:left="440"/>
              <w:jc w:val="left"/>
              <w:rPr>
                <w:rFonts w:ascii="黑体" w:eastAsia="黑体"/>
                <w:color w:val="auto"/>
                <w:highlight w:val="none"/>
                <w:lang w:eastAsia="en-US"/>
              </w:rPr>
            </w:pPr>
            <w:r>
              <w:rPr>
                <w:rFonts w:hint="eastAsia" w:ascii="黑体" w:eastAsia="黑体"/>
                <w:color w:val="auto"/>
                <w:highlight w:val="none"/>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restart"/>
          </w:tcPr>
          <w:p>
            <w:pPr>
              <w:pStyle w:val="7"/>
              <w:autoSpaceDE w:val="0"/>
              <w:autoSpaceDN w:val="0"/>
              <w:jc w:val="left"/>
              <w:rPr>
                <w:rFonts w:ascii="黑体"/>
                <w:color w:val="auto"/>
                <w:sz w:val="20"/>
                <w:highlight w:val="none"/>
                <w:lang w:eastAsia="en-US"/>
              </w:rPr>
            </w:pPr>
          </w:p>
          <w:p>
            <w:pPr>
              <w:pStyle w:val="7"/>
              <w:autoSpaceDE w:val="0"/>
              <w:autoSpaceDN w:val="0"/>
              <w:jc w:val="left"/>
              <w:rPr>
                <w:rFonts w:ascii="黑体"/>
                <w:color w:val="auto"/>
                <w:sz w:val="20"/>
                <w:highlight w:val="none"/>
                <w:lang w:eastAsia="en-US"/>
              </w:rPr>
            </w:pPr>
          </w:p>
          <w:p>
            <w:pPr>
              <w:pStyle w:val="7"/>
              <w:autoSpaceDE w:val="0"/>
              <w:autoSpaceDN w:val="0"/>
              <w:jc w:val="left"/>
              <w:rPr>
                <w:rFonts w:ascii="黑体"/>
                <w:color w:val="auto"/>
                <w:sz w:val="20"/>
                <w:highlight w:val="none"/>
                <w:lang w:eastAsia="en-US"/>
              </w:rPr>
            </w:pPr>
          </w:p>
          <w:p>
            <w:pPr>
              <w:pStyle w:val="7"/>
              <w:autoSpaceDE w:val="0"/>
              <w:autoSpaceDN w:val="0"/>
              <w:jc w:val="left"/>
              <w:rPr>
                <w:rFonts w:ascii="黑体"/>
                <w:color w:val="auto"/>
                <w:sz w:val="20"/>
                <w:highlight w:val="none"/>
                <w:lang w:eastAsia="en-US"/>
              </w:rPr>
            </w:pPr>
          </w:p>
          <w:p>
            <w:pPr>
              <w:pStyle w:val="7"/>
              <w:autoSpaceDE w:val="0"/>
              <w:autoSpaceDN w:val="0"/>
              <w:jc w:val="left"/>
              <w:rPr>
                <w:rFonts w:ascii="黑体"/>
                <w:color w:val="auto"/>
                <w:sz w:val="20"/>
                <w:highlight w:val="none"/>
                <w:lang w:eastAsia="en-US"/>
              </w:rPr>
            </w:pPr>
          </w:p>
          <w:p>
            <w:pPr>
              <w:pStyle w:val="7"/>
              <w:autoSpaceDE w:val="0"/>
              <w:autoSpaceDN w:val="0"/>
              <w:jc w:val="left"/>
              <w:rPr>
                <w:rFonts w:ascii="黑体"/>
                <w:color w:val="auto"/>
                <w:sz w:val="20"/>
                <w:highlight w:val="none"/>
                <w:lang w:eastAsia="en-US"/>
              </w:rPr>
            </w:pPr>
          </w:p>
          <w:p>
            <w:pPr>
              <w:pStyle w:val="7"/>
              <w:autoSpaceDE w:val="0"/>
              <w:autoSpaceDN w:val="0"/>
              <w:spacing w:before="136"/>
              <w:ind w:left="272"/>
              <w:jc w:val="left"/>
              <w:rPr>
                <w:color w:val="auto"/>
                <w:sz w:val="20"/>
                <w:highlight w:val="none"/>
                <w:lang w:eastAsia="en-US"/>
              </w:rPr>
            </w:pPr>
            <w:r>
              <w:rPr>
                <w:color w:val="auto"/>
                <w:sz w:val="20"/>
                <w:highlight w:val="none"/>
                <w:lang w:eastAsia="en-US"/>
              </w:rPr>
              <w:t>一级学科核心课</w:t>
            </w: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材料热力学和动力学</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60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工程光学</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60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半导体材料</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60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材料分析方法</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机械设计</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60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信息光电子学</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57</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激光辅助信息获取与分析技术</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相图和相结构</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60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红外成像技术</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54</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纳米能源环境材料</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集成光电子学</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60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4.00</w:t>
            </w:r>
          </w:p>
        </w:tc>
        <w:tc>
          <w:tcPr>
            <w:tcW w:w="1326" w:type="dxa"/>
          </w:tcPr>
          <w:p>
            <w:pPr>
              <w:autoSpaceDE w:val="0"/>
              <w:autoSpaceDN w:val="0"/>
              <w:rPr>
                <w:color w:val="auto"/>
                <w:highlight w:val="none"/>
                <w:lang w:eastAsia="en-US"/>
              </w:rPr>
            </w:pPr>
          </w:p>
        </w:tc>
      </w:tr>
    </w:tbl>
    <w:p>
      <w:pPr>
        <w:spacing w:line="420" w:lineRule="exact"/>
        <w:rPr>
          <w:color w:val="auto"/>
          <w:sz w:val="24"/>
          <w:highlight w:val="none"/>
        </w:rPr>
      </w:pPr>
    </w:p>
    <w:tbl>
      <w:tblPr>
        <w:tblStyle w:val="8"/>
        <w:tblW w:w="0" w:type="auto"/>
        <w:tblInd w:w="2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1"/>
        <w:gridCol w:w="4339"/>
        <w:gridCol w:w="993"/>
        <w:gridCol w:w="992"/>
        <w:gridCol w:w="1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951" w:type="dxa"/>
          </w:tcPr>
          <w:p>
            <w:pPr>
              <w:pStyle w:val="7"/>
              <w:autoSpaceDE w:val="0"/>
              <w:autoSpaceDN w:val="0"/>
              <w:spacing w:before="46"/>
              <w:ind w:left="533"/>
              <w:jc w:val="left"/>
              <w:rPr>
                <w:rFonts w:ascii="黑体" w:eastAsia="黑体"/>
                <w:color w:val="auto"/>
                <w:highlight w:val="none"/>
                <w:lang w:eastAsia="en-US"/>
              </w:rPr>
            </w:pPr>
            <w:r>
              <w:rPr>
                <w:rFonts w:hint="eastAsia" w:ascii="黑体" w:eastAsia="黑体"/>
                <w:color w:val="auto"/>
                <w:highlight w:val="none"/>
                <w:lang w:eastAsia="en-US"/>
              </w:rPr>
              <w:t>课程属性</w:t>
            </w:r>
          </w:p>
        </w:tc>
        <w:tc>
          <w:tcPr>
            <w:tcW w:w="4339" w:type="dxa"/>
          </w:tcPr>
          <w:p>
            <w:pPr>
              <w:pStyle w:val="7"/>
              <w:autoSpaceDE w:val="0"/>
              <w:autoSpaceDN w:val="0"/>
              <w:spacing w:before="46"/>
              <w:ind w:left="147" w:right="147"/>
              <w:rPr>
                <w:rFonts w:ascii="黑体" w:eastAsia="黑体"/>
                <w:color w:val="auto"/>
                <w:highlight w:val="none"/>
                <w:lang w:eastAsia="en-US"/>
              </w:rPr>
            </w:pPr>
            <w:r>
              <w:rPr>
                <w:rFonts w:hint="eastAsia" w:ascii="黑体" w:eastAsia="黑体"/>
                <w:color w:val="auto"/>
                <w:highlight w:val="none"/>
                <w:lang w:eastAsia="en-US"/>
              </w:rPr>
              <w:t>课程名称</w:t>
            </w:r>
          </w:p>
        </w:tc>
        <w:tc>
          <w:tcPr>
            <w:tcW w:w="993" w:type="dxa"/>
          </w:tcPr>
          <w:p>
            <w:pPr>
              <w:pStyle w:val="7"/>
              <w:autoSpaceDE w:val="0"/>
              <w:autoSpaceDN w:val="0"/>
              <w:spacing w:before="46"/>
              <w:ind w:left="34" w:right="34"/>
              <w:rPr>
                <w:rFonts w:ascii="黑体" w:eastAsia="黑体"/>
                <w:color w:val="auto"/>
                <w:highlight w:val="none"/>
                <w:lang w:eastAsia="en-US"/>
              </w:rPr>
            </w:pPr>
            <w:r>
              <w:rPr>
                <w:rFonts w:hint="eastAsia" w:ascii="黑体" w:eastAsia="黑体"/>
                <w:color w:val="auto"/>
                <w:highlight w:val="none"/>
                <w:lang w:eastAsia="en-US"/>
              </w:rPr>
              <w:t>学时</w:t>
            </w:r>
          </w:p>
        </w:tc>
        <w:tc>
          <w:tcPr>
            <w:tcW w:w="992" w:type="dxa"/>
          </w:tcPr>
          <w:p>
            <w:pPr>
              <w:pStyle w:val="7"/>
              <w:autoSpaceDE w:val="0"/>
              <w:autoSpaceDN w:val="0"/>
              <w:spacing w:before="46"/>
              <w:ind w:left="253" w:right="253"/>
              <w:rPr>
                <w:rFonts w:ascii="黑体" w:eastAsia="黑体"/>
                <w:color w:val="auto"/>
                <w:highlight w:val="none"/>
                <w:lang w:eastAsia="en-US"/>
              </w:rPr>
            </w:pPr>
            <w:r>
              <w:rPr>
                <w:rFonts w:hint="eastAsia" w:ascii="黑体" w:eastAsia="黑体"/>
                <w:color w:val="auto"/>
                <w:highlight w:val="none"/>
                <w:lang w:eastAsia="en-US"/>
              </w:rPr>
              <w:t>学分</w:t>
            </w:r>
          </w:p>
        </w:tc>
        <w:tc>
          <w:tcPr>
            <w:tcW w:w="1326" w:type="dxa"/>
          </w:tcPr>
          <w:p>
            <w:pPr>
              <w:pStyle w:val="7"/>
              <w:autoSpaceDE w:val="0"/>
              <w:autoSpaceDN w:val="0"/>
              <w:spacing w:before="46"/>
              <w:ind w:left="440"/>
              <w:jc w:val="left"/>
              <w:rPr>
                <w:rFonts w:ascii="黑体" w:eastAsia="黑体"/>
                <w:color w:val="auto"/>
                <w:highlight w:val="none"/>
                <w:lang w:eastAsia="en-US"/>
              </w:rPr>
            </w:pPr>
            <w:r>
              <w:rPr>
                <w:rFonts w:hint="eastAsia" w:ascii="黑体" w:eastAsia="黑体"/>
                <w:color w:val="auto"/>
                <w:highlight w:val="none"/>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restart"/>
          </w:tcPr>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spacing w:before="6"/>
              <w:jc w:val="left"/>
              <w:rPr>
                <w:rFonts w:ascii="Times New Roman"/>
                <w:color w:val="auto"/>
                <w:sz w:val="27"/>
                <w:highlight w:val="none"/>
                <w:lang w:eastAsia="en-US"/>
              </w:rPr>
            </w:pPr>
          </w:p>
          <w:p>
            <w:pPr>
              <w:pStyle w:val="7"/>
              <w:autoSpaceDE w:val="0"/>
              <w:autoSpaceDN w:val="0"/>
              <w:ind w:left="272"/>
              <w:jc w:val="left"/>
              <w:rPr>
                <w:color w:val="auto"/>
                <w:sz w:val="20"/>
                <w:highlight w:val="none"/>
                <w:lang w:eastAsia="en-US"/>
              </w:rPr>
            </w:pPr>
            <w:r>
              <w:rPr>
                <w:color w:val="auto"/>
                <w:sz w:val="20"/>
                <w:highlight w:val="none"/>
                <w:lang w:eastAsia="en-US"/>
              </w:rPr>
              <w:t>一级学科普及课</w:t>
            </w:r>
          </w:p>
        </w:tc>
        <w:tc>
          <w:tcPr>
            <w:tcW w:w="4339" w:type="dxa"/>
          </w:tcPr>
          <w:p>
            <w:pPr>
              <w:pStyle w:val="7"/>
              <w:autoSpaceDE w:val="0"/>
              <w:autoSpaceDN w:val="0"/>
              <w:spacing w:before="5"/>
              <w:ind w:left="147" w:right="147"/>
              <w:rPr>
                <w:color w:val="auto"/>
                <w:sz w:val="20"/>
                <w:highlight w:val="none"/>
                <w:lang w:eastAsia="zh-CN"/>
              </w:rPr>
            </w:pPr>
            <w:r>
              <w:rPr>
                <w:color w:val="auto"/>
                <w:sz w:val="20"/>
                <w:highlight w:val="none"/>
                <w:lang w:eastAsia="zh-CN"/>
              </w:rPr>
              <w:t>材料科学与工程中的数学方法</w:t>
            </w:r>
          </w:p>
        </w:tc>
        <w:tc>
          <w:tcPr>
            <w:tcW w:w="993" w:type="dxa"/>
          </w:tcPr>
          <w:p>
            <w:pPr>
              <w:pStyle w:val="7"/>
              <w:autoSpaceDE w:val="0"/>
              <w:autoSpaceDN w:val="0"/>
              <w:spacing w:before="5"/>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5"/>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固体材料</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半导体器件物理</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数学物理方程（工科类）</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光学薄膜技术及其应用</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36</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2.50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半导体光谱与测量技术</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光电子集成芯片的高速电路设计</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44</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光纤传感技术</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光子集成芯片基础</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32</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激光雷达探测与成像</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32</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高等半导体物理</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半导体激光器</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光电子器件制造技术</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45</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柔性可穿戴与微纳传感技术</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固体激光原理及应用</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48</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restart"/>
          </w:tcPr>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spacing w:before="9"/>
              <w:jc w:val="left"/>
              <w:rPr>
                <w:rFonts w:ascii="Times New Roman"/>
                <w:color w:val="auto"/>
                <w:sz w:val="18"/>
                <w:highlight w:val="none"/>
                <w:lang w:eastAsia="en-US"/>
              </w:rPr>
            </w:pPr>
          </w:p>
          <w:p>
            <w:pPr>
              <w:pStyle w:val="7"/>
              <w:autoSpaceDE w:val="0"/>
              <w:autoSpaceDN w:val="0"/>
              <w:spacing w:before="1"/>
              <w:ind w:left="272"/>
              <w:jc w:val="left"/>
              <w:rPr>
                <w:color w:val="auto"/>
                <w:sz w:val="20"/>
                <w:highlight w:val="none"/>
                <w:lang w:eastAsia="en-US"/>
              </w:rPr>
            </w:pPr>
            <w:r>
              <w:rPr>
                <w:color w:val="auto"/>
                <w:sz w:val="20"/>
                <w:highlight w:val="none"/>
                <w:lang w:eastAsia="en-US"/>
              </w:rPr>
              <w:t>一级学科研讨课</w:t>
            </w: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材料的气相沉积制备技术</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20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传感器技术及其应用</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20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亚波长光学传感器件及应用</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21</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无源光芯片理论及工艺</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30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1.50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信息光电子器件及集成</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20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聚合物基复合材料</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20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纳米生物与仿生材料</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20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exact"/>
        </w:trPr>
        <w:tc>
          <w:tcPr>
            <w:tcW w:w="1951" w:type="dxa"/>
            <w:vMerge w:val="restart"/>
          </w:tcPr>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18"/>
                <w:highlight w:val="none"/>
                <w:lang w:eastAsia="en-US"/>
              </w:rPr>
            </w:pPr>
          </w:p>
          <w:p>
            <w:pPr>
              <w:pStyle w:val="7"/>
              <w:autoSpaceDE w:val="0"/>
              <w:autoSpaceDN w:val="0"/>
              <w:spacing w:before="1"/>
              <w:ind w:left="472"/>
              <w:jc w:val="left"/>
              <w:rPr>
                <w:color w:val="auto"/>
                <w:sz w:val="20"/>
                <w:highlight w:val="none"/>
                <w:lang w:eastAsia="en-US"/>
              </w:rPr>
            </w:pPr>
            <w:r>
              <w:rPr>
                <w:color w:val="auto"/>
                <w:sz w:val="20"/>
                <w:highlight w:val="none"/>
                <w:lang w:eastAsia="en-US"/>
              </w:rPr>
              <w:t>专业核心课</w:t>
            </w: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分子材料与器件</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半导体量子电子器件物理</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半导体光子学</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60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4.00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现代制造技术</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固体物理基础（专业班）</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固体物理基础（基础班）</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纳米生物材料</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51</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半导体功能材料设计</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60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4.00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硅基光电子学材料与器件</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60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4.00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半导体微纳材料与量子光电子器件</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4.00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材料化学</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现代无机合成</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60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材料结构分析</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60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restart"/>
          </w:tcPr>
          <w:p>
            <w:pPr>
              <w:pStyle w:val="7"/>
              <w:autoSpaceDE w:val="0"/>
              <w:autoSpaceDN w:val="0"/>
              <w:spacing w:before="57"/>
              <w:ind w:left="472"/>
              <w:jc w:val="left"/>
              <w:rPr>
                <w:color w:val="auto"/>
                <w:sz w:val="20"/>
                <w:highlight w:val="none"/>
                <w:lang w:eastAsia="en-US"/>
              </w:rPr>
            </w:pPr>
            <w:r>
              <w:rPr>
                <w:color w:val="auto"/>
                <w:sz w:val="20"/>
                <w:highlight w:val="none"/>
                <w:lang w:eastAsia="en-US"/>
              </w:rPr>
              <w:t>专业普及课</w:t>
            </w: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表面与界面</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半导体光电材料与器件</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bl>
    <w:p>
      <w:pPr>
        <w:rPr>
          <w:color w:val="auto"/>
          <w:highlight w:val="none"/>
        </w:rPr>
        <w:sectPr>
          <w:pgSz w:w="11910" w:h="16160"/>
          <w:pgMar w:top="1120" w:right="1060" w:bottom="700" w:left="920" w:header="0" w:footer="506" w:gutter="0"/>
          <w:cols w:space="720" w:num="1"/>
        </w:sectPr>
      </w:pPr>
    </w:p>
    <w:p>
      <w:pPr>
        <w:pStyle w:val="2"/>
        <w:spacing w:before="0"/>
        <w:rPr>
          <w:rFonts w:ascii="Times New Roman"/>
          <w:color w:val="auto"/>
          <w:sz w:val="20"/>
          <w:highlight w:val="none"/>
        </w:rPr>
      </w:pPr>
    </w:p>
    <w:p>
      <w:pPr>
        <w:pStyle w:val="2"/>
        <w:spacing w:before="1"/>
        <w:rPr>
          <w:rFonts w:ascii="Times New Roman"/>
          <w:color w:val="auto"/>
          <w:sz w:val="29"/>
          <w:highlight w:val="none"/>
        </w:rPr>
      </w:pPr>
    </w:p>
    <w:tbl>
      <w:tblPr>
        <w:tblStyle w:val="8"/>
        <w:tblW w:w="0" w:type="auto"/>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1"/>
        <w:gridCol w:w="4339"/>
        <w:gridCol w:w="993"/>
        <w:gridCol w:w="992"/>
        <w:gridCol w:w="1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951" w:type="dxa"/>
          </w:tcPr>
          <w:p>
            <w:pPr>
              <w:pStyle w:val="7"/>
              <w:autoSpaceDE w:val="0"/>
              <w:autoSpaceDN w:val="0"/>
              <w:spacing w:before="46"/>
              <w:ind w:left="533"/>
              <w:jc w:val="left"/>
              <w:rPr>
                <w:rFonts w:ascii="黑体" w:eastAsia="黑体"/>
                <w:color w:val="auto"/>
                <w:highlight w:val="none"/>
                <w:lang w:eastAsia="en-US"/>
              </w:rPr>
            </w:pPr>
            <w:r>
              <w:rPr>
                <w:rFonts w:hint="eastAsia" w:ascii="黑体" w:eastAsia="黑体"/>
                <w:color w:val="auto"/>
                <w:highlight w:val="none"/>
                <w:lang w:eastAsia="en-US"/>
              </w:rPr>
              <w:t>课程属性</w:t>
            </w:r>
          </w:p>
        </w:tc>
        <w:tc>
          <w:tcPr>
            <w:tcW w:w="4339" w:type="dxa"/>
          </w:tcPr>
          <w:p>
            <w:pPr>
              <w:pStyle w:val="7"/>
              <w:autoSpaceDE w:val="0"/>
              <w:autoSpaceDN w:val="0"/>
              <w:spacing w:before="46"/>
              <w:ind w:left="147" w:right="147"/>
              <w:rPr>
                <w:rFonts w:ascii="黑体" w:eastAsia="黑体"/>
                <w:color w:val="auto"/>
                <w:highlight w:val="none"/>
                <w:lang w:eastAsia="en-US"/>
              </w:rPr>
            </w:pPr>
            <w:r>
              <w:rPr>
                <w:rFonts w:hint="eastAsia" w:ascii="黑体" w:eastAsia="黑体"/>
                <w:color w:val="auto"/>
                <w:highlight w:val="none"/>
                <w:lang w:eastAsia="en-US"/>
              </w:rPr>
              <w:t>课程名称</w:t>
            </w:r>
          </w:p>
        </w:tc>
        <w:tc>
          <w:tcPr>
            <w:tcW w:w="993" w:type="dxa"/>
          </w:tcPr>
          <w:p>
            <w:pPr>
              <w:pStyle w:val="7"/>
              <w:autoSpaceDE w:val="0"/>
              <w:autoSpaceDN w:val="0"/>
              <w:spacing w:before="46"/>
              <w:ind w:left="34" w:right="34"/>
              <w:rPr>
                <w:rFonts w:ascii="黑体" w:eastAsia="黑体"/>
                <w:color w:val="auto"/>
                <w:highlight w:val="none"/>
                <w:lang w:eastAsia="en-US"/>
              </w:rPr>
            </w:pPr>
            <w:r>
              <w:rPr>
                <w:rFonts w:hint="eastAsia" w:ascii="黑体" w:eastAsia="黑体"/>
                <w:color w:val="auto"/>
                <w:highlight w:val="none"/>
                <w:lang w:eastAsia="en-US"/>
              </w:rPr>
              <w:t>学时</w:t>
            </w:r>
          </w:p>
        </w:tc>
        <w:tc>
          <w:tcPr>
            <w:tcW w:w="992" w:type="dxa"/>
          </w:tcPr>
          <w:p>
            <w:pPr>
              <w:pStyle w:val="7"/>
              <w:autoSpaceDE w:val="0"/>
              <w:autoSpaceDN w:val="0"/>
              <w:spacing w:before="46"/>
              <w:ind w:left="253" w:right="253"/>
              <w:rPr>
                <w:rFonts w:ascii="黑体" w:eastAsia="黑体"/>
                <w:color w:val="auto"/>
                <w:highlight w:val="none"/>
                <w:lang w:eastAsia="en-US"/>
              </w:rPr>
            </w:pPr>
            <w:r>
              <w:rPr>
                <w:rFonts w:hint="eastAsia" w:ascii="黑体" w:eastAsia="黑体"/>
                <w:color w:val="auto"/>
                <w:highlight w:val="none"/>
                <w:lang w:eastAsia="en-US"/>
              </w:rPr>
              <w:t>学分</w:t>
            </w:r>
          </w:p>
        </w:tc>
        <w:tc>
          <w:tcPr>
            <w:tcW w:w="1326" w:type="dxa"/>
          </w:tcPr>
          <w:p>
            <w:pPr>
              <w:pStyle w:val="7"/>
              <w:autoSpaceDE w:val="0"/>
              <w:autoSpaceDN w:val="0"/>
              <w:spacing w:before="46"/>
              <w:ind w:left="440"/>
              <w:jc w:val="left"/>
              <w:rPr>
                <w:rFonts w:ascii="黑体" w:eastAsia="黑体"/>
                <w:color w:val="auto"/>
                <w:highlight w:val="none"/>
                <w:lang w:eastAsia="en-US"/>
              </w:rPr>
            </w:pPr>
            <w:r>
              <w:rPr>
                <w:rFonts w:hint="eastAsia" w:ascii="黑体" w:eastAsia="黑体"/>
                <w:color w:val="auto"/>
                <w:highlight w:val="none"/>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restart"/>
          </w:tcPr>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spacing w:before="149"/>
              <w:ind w:left="473"/>
              <w:jc w:val="left"/>
              <w:rPr>
                <w:color w:val="auto"/>
                <w:sz w:val="20"/>
                <w:highlight w:val="none"/>
                <w:lang w:eastAsia="en-US"/>
              </w:rPr>
            </w:pPr>
            <w:r>
              <w:rPr>
                <w:color w:val="auto"/>
                <w:sz w:val="20"/>
                <w:highlight w:val="none"/>
                <w:lang w:eastAsia="en-US"/>
              </w:rPr>
              <w:t>专业普及课</w:t>
            </w: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生物可降解高分子材料</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半导体异质结构材料与应用</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低维半导体光电性质与应用</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太阳能电池基础与应用</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半导体微纳发光材料与器件</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30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光传感技术及其应用</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半导体材料测试与分析</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发光材料学</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新型</w:t>
            </w:r>
            <w:r>
              <w:rPr>
                <w:color w:val="auto"/>
                <w:spacing w:val="-50"/>
                <w:sz w:val="20"/>
                <w:highlight w:val="none"/>
                <w:lang w:eastAsia="zh-CN"/>
              </w:rPr>
              <w:t xml:space="preserve"> </w:t>
            </w:r>
            <w:r>
              <w:rPr>
                <w:color w:val="auto"/>
                <w:sz w:val="20"/>
                <w:highlight w:val="none"/>
                <w:lang w:eastAsia="zh-CN"/>
              </w:rPr>
              <w:t>III</w:t>
            </w:r>
            <w:r>
              <w:rPr>
                <w:color w:val="auto"/>
                <w:spacing w:val="-50"/>
                <w:sz w:val="20"/>
                <w:highlight w:val="none"/>
                <w:lang w:eastAsia="zh-CN"/>
              </w:rPr>
              <w:t xml:space="preserve"> </w:t>
            </w:r>
            <w:r>
              <w:rPr>
                <w:color w:val="auto"/>
                <w:sz w:val="20"/>
                <w:highlight w:val="none"/>
                <w:lang w:eastAsia="zh-CN"/>
              </w:rPr>
              <w:t>族半导体光电材料及器件</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高分子物理</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高分子化学</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高分子材料的结构与性能</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先进材料加工技术</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磁动力学理论及数值模型与算法</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2.50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新能源材料与技术</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硅基非线性光子功能器件</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半导体光学</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zh-CN"/>
              </w:rPr>
            </w:pPr>
            <w:r>
              <w:rPr>
                <w:color w:val="auto"/>
                <w:sz w:val="20"/>
                <w:highlight w:val="none"/>
                <w:lang w:eastAsia="zh-CN"/>
              </w:rPr>
              <w:t>宽禁带半导体电子器件</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薄膜物理</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微纳加工技术</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真空物理与技术</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6"/>
              <w:ind w:left="147" w:right="147"/>
              <w:rPr>
                <w:color w:val="auto"/>
                <w:sz w:val="20"/>
                <w:highlight w:val="none"/>
                <w:lang w:eastAsia="en-US"/>
              </w:rPr>
            </w:pPr>
            <w:r>
              <w:rPr>
                <w:color w:val="auto"/>
                <w:sz w:val="20"/>
                <w:highlight w:val="none"/>
                <w:lang w:eastAsia="en-US"/>
              </w:rPr>
              <w:t>光电子与微电子集成</w:t>
            </w:r>
          </w:p>
        </w:tc>
        <w:tc>
          <w:tcPr>
            <w:tcW w:w="993" w:type="dxa"/>
          </w:tcPr>
          <w:p>
            <w:pPr>
              <w:pStyle w:val="7"/>
              <w:autoSpaceDE w:val="0"/>
              <w:autoSpaceDN w:val="0"/>
              <w:spacing w:before="6"/>
              <w:ind w:left="34" w:right="34"/>
              <w:rPr>
                <w:color w:val="auto"/>
                <w:sz w:val="20"/>
                <w:highlight w:val="none"/>
                <w:lang w:eastAsia="en-US"/>
              </w:rPr>
            </w:pPr>
            <w:r>
              <w:rPr>
                <w:color w:val="auto"/>
                <w:sz w:val="20"/>
                <w:highlight w:val="none"/>
                <w:lang w:eastAsia="en-US"/>
              </w:rPr>
              <w:t>30</w:t>
            </w:r>
          </w:p>
        </w:tc>
        <w:tc>
          <w:tcPr>
            <w:tcW w:w="992" w:type="dxa"/>
          </w:tcPr>
          <w:p>
            <w:pPr>
              <w:pStyle w:val="7"/>
              <w:autoSpaceDE w:val="0"/>
              <w:autoSpaceDN w:val="0"/>
              <w:spacing w:before="6"/>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石墨烯光电子材料与器件</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32</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半导体纳米电子学</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48</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先进功能高分子材料</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30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低维材料制备、表征及应用</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红外光电子技术</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显微拉曼光谱学</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2.50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第三代半导体材料及应用</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42</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宽禁带半导体光电子材料与器件</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有机半导体材料</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50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纳米材料基础</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分子力与表面力及其在材料中的应用</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宽禁带半导体发光材料</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42</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en-US"/>
              </w:rPr>
            </w:pPr>
            <w:r>
              <w:rPr>
                <w:color w:val="auto"/>
                <w:sz w:val="20"/>
                <w:highlight w:val="none"/>
                <w:lang w:eastAsia="en-US"/>
              </w:rPr>
              <w:t>半导体物理前沿进展</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30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化合物半导体材料生长与表征</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7"/>
              <w:ind w:left="147" w:right="147"/>
              <w:rPr>
                <w:color w:val="auto"/>
                <w:sz w:val="20"/>
                <w:highlight w:val="none"/>
                <w:lang w:eastAsia="zh-CN"/>
              </w:rPr>
            </w:pPr>
            <w:r>
              <w:rPr>
                <w:color w:val="auto"/>
                <w:sz w:val="20"/>
                <w:highlight w:val="none"/>
                <w:lang w:eastAsia="zh-CN"/>
              </w:rPr>
              <w:t>有限元方法及工程应用</w:t>
            </w:r>
          </w:p>
        </w:tc>
        <w:tc>
          <w:tcPr>
            <w:tcW w:w="993" w:type="dxa"/>
          </w:tcPr>
          <w:p>
            <w:pPr>
              <w:pStyle w:val="7"/>
              <w:autoSpaceDE w:val="0"/>
              <w:autoSpaceDN w:val="0"/>
              <w:spacing w:before="7"/>
              <w:ind w:left="34" w:right="34"/>
              <w:rPr>
                <w:color w:val="auto"/>
                <w:sz w:val="20"/>
                <w:highlight w:val="none"/>
                <w:lang w:eastAsia="en-US"/>
              </w:rPr>
            </w:pPr>
            <w:r>
              <w:rPr>
                <w:color w:val="auto"/>
                <w:sz w:val="20"/>
                <w:highlight w:val="none"/>
                <w:lang w:eastAsia="en-US"/>
              </w:rPr>
              <w:t>48</w:t>
            </w:r>
          </w:p>
        </w:tc>
        <w:tc>
          <w:tcPr>
            <w:tcW w:w="992" w:type="dxa"/>
          </w:tcPr>
          <w:p>
            <w:pPr>
              <w:pStyle w:val="7"/>
              <w:autoSpaceDE w:val="0"/>
              <w:autoSpaceDN w:val="0"/>
              <w:spacing w:before="7"/>
              <w:ind w:left="253" w:right="253"/>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bl>
    <w:p>
      <w:pPr>
        <w:rPr>
          <w:color w:val="auto"/>
          <w:highlight w:val="none"/>
        </w:rPr>
        <w:sectPr>
          <w:pgSz w:w="11910" w:h="16160"/>
          <w:pgMar w:top="1120" w:right="920" w:bottom="700" w:left="1020" w:header="0" w:footer="506" w:gutter="0"/>
          <w:cols w:space="720" w:num="1"/>
        </w:sectPr>
      </w:pPr>
    </w:p>
    <w:p>
      <w:pPr>
        <w:pStyle w:val="2"/>
        <w:spacing w:before="0"/>
        <w:rPr>
          <w:rFonts w:ascii="Times New Roman"/>
          <w:color w:val="auto"/>
          <w:sz w:val="20"/>
          <w:highlight w:val="none"/>
        </w:rPr>
      </w:pPr>
    </w:p>
    <w:tbl>
      <w:tblPr>
        <w:tblStyle w:val="8"/>
        <w:tblpPr w:leftFromText="180" w:rightFromText="180" w:vertAnchor="text" w:horzAnchor="page" w:tblpX="1200" w:tblpY="570"/>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1"/>
        <w:gridCol w:w="4339"/>
        <w:gridCol w:w="993"/>
        <w:gridCol w:w="992"/>
        <w:gridCol w:w="1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951" w:type="dxa"/>
          </w:tcPr>
          <w:p>
            <w:pPr>
              <w:pStyle w:val="7"/>
              <w:autoSpaceDE w:val="0"/>
              <w:autoSpaceDN w:val="0"/>
              <w:spacing w:before="46"/>
              <w:ind w:left="532"/>
              <w:jc w:val="left"/>
              <w:rPr>
                <w:rFonts w:ascii="黑体" w:eastAsia="黑体"/>
                <w:color w:val="auto"/>
                <w:highlight w:val="none"/>
                <w:lang w:eastAsia="en-US"/>
              </w:rPr>
            </w:pPr>
            <w:r>
              <w:rPr>
                <w:rFonts w:hint="eastAsia" w:ascii="黑体" w:eastAsia="黑体"/>
                <w:color w:val="auto"/>
                <w:highlight w:val="none"/>
                <w:lang w:eastAsia="en-US"/>
              </w:rPr>
              <w:t>课程属性</w:t>
            </w:r>
          </w:p>
        </w:tc>
        <w:tc>
          <w:tcPr>
            <w:tcW w:w="4339" w:type="dxa"/>
          </w:tcPr>
          <w:p>
            <w:pPr>
              <w:pStyle w:val="7"/>
              <w:autoSpaceDE w:val="0"/>
              <w:autoSpaceDN w:val="0"/>
              <w:spacing w:before="46"/>
              <w:ind w:left="147" w:right="147"/>
              <w:rPr>
                <w:rFonts w:ascii="黑体" w:eastAsia="黑体"/>
                <w:color w:val="auto"/>
                <w:highlight w:val="none"/>
                <w:lang w:eastAsia="en-US"/>
              </w:rPr>
            </w:pPr>
            <w:r>
              <w:rPr>
                <w:rFonts w:hint="eastAsia" w:ascii="黑体" w:eastAsia="黑体"/>
                <w:color w:val="auto"/>
                <w:highlight w:val="none"/>
                <w:lang w:eastAsia="en-US"/>
              </w:rPr>
              <w:t>课程名称</w:t>
            </w:r>
          </w:p>
        </w:tc>
        <w:tc>
          <w:tcPr>
            <w:tcW w:w="993" w:type="dxa"/>
          </w:tcPr>
          <w:p>
            <w:pPr>
              <w:pStyle w:val="7"/>
              <w:autoSpaceDE w:val="0"/>
              <w:autoSpaceDN w:val="0"/>
              <w:spacing w:before="46"/>
              <w:ind w:left="34" w:right="34"/>
              <w:rPr>
                <w:rFonts w:ascii="黑体" w:eastAsia="黑体"/>
                <w:color w:val="auto"/>
                <w:highlight w:val="none"/>
                <w:lang w:eastAsia="en-US"/>
              </w:rPr>
            </w:pPr>
            <w:r>
              <w:rPr>
                <w:rFonts w:hint="eastAsia" w:ascii="黑体" w:eastAsia="黑体"/>
                <w:color w:val="auto"/>
                <w:highlight w:val="none"/>
                <w:lang w:eastAsia="en-US"/>
              </w:rPr>
              <w:t>学时</w:t>
            </w:r>
          </w:p>
        </w:tc>
        <w:tc>
          <w:tcPr>
            <w:tcW w:w="992" w:type="dxa"/>
          </w:tcPr>
          <w:p>
            <w:pPr>
              <w:pStyle w:val="7"/>
              <w:autoSpaceDE w:val="0"/>
              <w:autoSpaceDN w:val="0"/>
              <w:spacing w:before="46"/>
              <w:ind w:left="273"/>
              <w:jc w:val="left"/>
              <w:rPr>
                <w:rFonts w:ascii="黑体" w:eastAsia="黑体"/>
                <w:color w:val="auto"/>
                <w:highlight w:val="none"/>
                <w:lang w:eastAsia="en-US"/>
              </w:rPr>
            </w:pPr>
            <w:r>
              <w:rPr>
                <w:rFonts w:hint="eastAsia" w:ascii="黑体" w:eastAsia="黑体"/>
                <w:color w:val="auto"/>
                <w:highlight w:val="none"/>
                <w:lang w:eastAsia="en-US"/>
              </w:rPr>
              <w:t>学分</w:t>
            </w:r>
          </w:p>
        </w:tc>
        <w:tc>
          <w:tcPr>
            <w:tcW w:w="1326" w:type="dxa"/>
          </w:tcPr>
          <w:p>
            <w:pPr>
              <w:pStyle w:val="7"/>
              <w:autoSpaceDE w:val="0"/>
              <w:autoSpaceDN w:val="0"/>
              <w:spacing w:before="46"/>
              <w:ind w:left="440"/>
              <w:jc w:val="left"/>
              <w:rPr>
                <w:rFonts w:ascii="黑体" w:eastAsia="黑体"/>
                <w:color w:val="auto"/>
                <w:highlight w:val="none"/>
                <w:lang w:eastAsia="en-US"/>
              </w:rPr>
            </w:pPr>
            <w:r>
              <w:rPr>
                <w:rFonts w:hint="eastAsia" w:ascii="黑体" w:eastAsia="黑体"/>
                <w:color w:val="auto"/>
                <w:highlight w:val="none"/>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restart"/>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en-US"/>
              </w:rPr>
            </w:pPr>
            <w:r>
              <w:rPr>
                <w:color w:val="auto"/>
                <w:sz w:val="20"/>
                <w:highlight w:val="none"/>
                <w:lang w:eastAsia="en-US"/>
              </w:rPr>
              <w:t>能源材料物理</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30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en-US"/>
              </w:rPr>
            </w:pPr>
            <w:r>
              <w:rPr>
                <w:color w:val="auto"/>
                <w:sz w:val="20"/>
                <w:highlight w:val="none"/>
                <w:lang w:eastAsia="en-US"/>
              </w:rPr>
              <w:t>安全性与可靠性工程</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en-US"/>
              </w:rPr>
            </w:pPr>
            <w:r>
              <w:rPr>
                <w:color w:val="auto"/>
                <w:sz w:val="20"/>
                <w:highlight w:val="none"/>
                <w:lang w:eastAsia="en-US"/>
              </w:rPr>
              <w:t>机械最优化设计</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48</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3.00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en-US"/>
              </w:rPr>
            </w:pPr>
            <w:r>
              <w:rPr>
                <w:color w:val="auto"/>
                <w:sz w:val="20"/>
                <w:highlight w:val="none"/>
                <w:lang w:eastAsia="en-US"/>
              </w:rPr>
              <w:t>半导体照明技术</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半导体自旋电子材料与器件基础</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30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en-US"/>
              </w:rPr>
            </w:pPr>
            <w:r>
              <w:rPr>
                <w:color w:val="auto"/>
                <w:sz w:val="20"/>
                <w:highlight w:val="none"/>
                <w:lang w:eastAsia="en-US"/>
              </w:rPr>
              <w:t>文献阅读</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30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超高品质半导体光学微腔的设计、制备及应用</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30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restart"/>
          </w:tcPr>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spacing w:before="117"/>
              <w:ind w:left="473"/>
              <w:jc w:val="left"/>
              <w:rPr>
                <w:color w:val="auto"/>
                <w:sz w:val="20"/>
                <w:highlight w:val="none"/>
                <w:lang w:eastAsia="en-US"/>
              </w:rPr>
            </w:pPr>
            <w:r>
              <w:rPr>
                <w:color w:val="auto"/>
                <w:sz w:val="20"/>
                <w:highlight w:val="none"/>
                <w:lang w:eastAsia="en-US"/>
              </w:rPr>
              <w:t>专业研讨课</w:t>
            </w: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半导体光电探测与器件模拟</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20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计算材料学中的机器学习</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20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en-US"/>
              </w:rPr>
            </w:pPr>
            <w:r>
              <w:rPr>
                <w:color w:val="auto"/>
                <w:sz w:val="20"/>
                <w:highlight w:val="none"/>
                <w:lang w:eastAsia="en-US"/>
              </w:rPr>
              <w:t>新型光伏材料和器件</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20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en-US"/>
              </w:rPr>
            </w:pPr>
            <w:r>
              <w:rPr>
                <w:color w:val="auto"/>
                <w:sz w:val="20"/>
                <w:highlight w:val="none"/>
                <w:lang w:eastAsia="en-US"/>
              </w:rPr>
              <w:t>现代无机合成选讲</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20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光互连核心器件及其集成技术</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21</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restart"/>
          </w:tcPr>
          <w:p>
            <w:pPr>
              <w:pStyle w:val="7"/>
              <w:autoSpaceDE w:val="0"/>
              <w:autoSpaceDN w:val="0"/>
              <w:spacing w:before="6"/>
              <w:jc w:val="left"/>
              <w:rPr>
                <w:rFonts w:ascii="Times New Roman"/>
                <w:color w:val="auto"/>
                <w:sz w:val="19"/>
                <w:highlight w:val="none"/>
                <w:lang w:eastAsia="en-US"/>
              </w:rPr>
            </w:pPr>
          </w:p>
          <w:p>
            <w:pPr>
              <w:pStyle w:val="7"/>
              <w:autoSpaceDE w:val="0"/>
              <w:autoSpaceDN w:val="0"/>
              <w:ind w:left="473"/>
              <w:jc w:val="left"/>
              <w:rPr>
                <w:color w:val="auto"/>
                <w:sz w:val="20"/>
                <w:highlight w:val="none"/>
                <w:lang w:eastAsia="en-US"/>
              </w:rPr>
            </w:pPr>
            <w:r>
              <w:rPr>
                <w:color w:val="auto"/>
                <w:sz w:val="20"/>
                <w:highlight w:val="none"/>
                <w:lang w:eastAsia="en-US"/>
              </w:rPr>
              <w:t>高级强化课</w:t>
            </w: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拉曼光谱在科学研究中的应用</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20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en-US"/>
              </w:rPr>
            </w:pPr>
            <w:r>
              <w:rPr>
                <w:color w:val="auto"/>
                <w:sz w:val="20"/>
                <w:highlight w:val="none"/>
                <w:lang w:eastAsia="en-US"/>
              </w:rPr>
              <w:t>电子显微分析</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20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restart"/>
          </w:tcPr>
          <w:p>
            <w:pPr>
              <w:pStyle w:val="7"/>
              <w:autoSpaceDE w:val="0"/>
              <w:autoSpaceDN w:val="0"/>
              <w:jc w:val="left"/>
              <w:rPr>
                <w:rFonts w:ascii="Times New Roman"/>
                <w:color w:val="auto"/>
                <w:sz w:val="20"/>
                <w:highlight w:val="none"/>
                <w:lang w:eastAsia="en-US"/>
              </w:rPr>
            </w:pPr>
          </w:p>
          <w:p>
            <w:pPr>
              <w:pStyle w:val="7"/>
              <w:autoSpaceDE w:val="0"/>
              <w:autoSpaceDN w:val="0"/>
              <w:spacing w:before="4"/>
              <w:jc w:val="left"/>
              <w:rPr>
                <w:rFonts w:ascii="Times New Roman"/>
                <w:color w:val="auto"/>
                <w:sz w:val="16"/>
                <w:highlight w:val="none"/>
                <w:lang w:eastAsia="en-US"/>
              </w:rPr>
            </w:pPr>
          </w:p>
          <w:p>
            <w:pPr>
              <w:pStyle w:val="7"/>
              <w:autoSpaceDE w:val="0"/>
              <w:autoSpaceDN w:val="0"/>
              <w:ind w:left="473"/>
              <w:jc w:val="left"/>
              <w:rPr>
                <w:color w:val="auto"/>
                <w:sz w:val="20"/>
                <w:highlight w:val="none"/>
                <w:lang w:eastAsia="en-US"/>
              </w:rPr>
            </w:pPr>
            <w:r>
              <w:rPr>
                <w:color w:val="auto"/>
                <w:sz w:val="20"/>
                <w:highlight w:val="none"/>
                <w:lang w:eastAsia="en-US"/>
              </w:rPr>
              <w:t>公共必修课</w:t>
            </w: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专业英语（材料科学与工程领域）</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2.00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学术道德与学术写作规范</w:t>
            </w:r>
            <w:r>
              <w:rPr>
                <w:color w:val="auto"/>
                <w:spacing w:val="-50"/>
                <w:sz w:val="20"/>
                <w:highlight w:val="none"/>
                <w:lang w:eastAsia="zh-CN"/>
              </w:rPr>
              <w:t xml:space="preserve"> </w:t>
            </w:r>
            <w:r>
              <w:rPr>
                <w:color w:val="auto"/>
                <w:sz w:val="20"/>
                <w:highlight w:val="none"/>
                <w:lang w:eastAsia="zh-CN"/>
              </w:rPr>
              <w:t>-</w:t>
            </w:r>
            <w:r>
              <w:rPr>
                <w:color w:val="auto"/>
                <w:spacing w:val="-50"/>
                <w:sz w:val="20"/>
                <w:highlight w:val="none"/>
                <w:lang w:eastAsia="zh-CN"/>
              </w:rPr>
              <w:t xml:space="preserve"> </w:t>
            </w:r>
            <w:r>
              <w:rPr>
                <w:color w:val="auto"/>
                <w:sz w:val="20"/>
                <w:highlight w:val="none"/>
                <w:lang w:eastAsia="zh-CN"/>
              </w:rPr>
              <w:t>分论</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10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0.50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学术道德与学术写作规范</w:t>
            </w:r>
            <w:r>
              <w:rPr>
                <w:color w:val="auto"/>
                <w:spacing w:val="-50"/>
                <w:sz w:val="20"/>
                <w:highlight w:val="none"/>
                <w:lang w:eastAsia="zh-CN"/>
              </w:rPr>
              <w:t xml:space="preserve"> </w:t>
            </w:r>
            <w:r>
              <w:rPr>
                <w:color w:val="auto"/>
                <w:sz w:val="20"/>
                <w:highlight w:val="none"/>
                <w:lang w:eastAsia="zh-CN"/>
              </w:rPr>
              <w:t>-</w:t>
            </w:r>
            <w:r>
              <w:rPr>
                <w:color w:val="auto"/>
                <w:spacing w:val="-50"/>
                <w:sz w:val="20"/>
                <w:highlight w:val="none"/>
                <w:lang w:eastAsia="zh-CN"/>
              </w:rPr>
              <w:t xml:space="preserve"> </w:t>
            </w:r>
            <w:r>
              <w:rPr>
                <w:color w:val="auto"/>
                <w:sz w:val="20"/>
                <w:highlight w:val="none"/>
                <w:lang w:eastAsia="zh-CN"/>
              </w:rPr>
              <w:t>分论</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10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0.50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restart"/>
          </w:tcPr>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jc w:val="left"/>
              <w:rPr>
                <w:rFonts w:ascii="Times New Roman"/>
                <w:color w:val="auto"/>
                <w:sz w:val="20"/>
                <w:highlight w:val="none"/>
                <w:lang w:eastAsia="en-US"/>
              </w:rPr>
            </w:pPr>
          </w:p>
          <w:p>
            <w:pPr>
              <w:pStyle w:val="7"/>
              <w:autoSpaceDE w:val="0"/>
              <w:autoSpaceDN w:val="0"/>
              <w:spacing w:before="11"/>
              <w:jc w:val="left"/>
              <w:rPr>
                <w:rFonts w:ascii="Times New Roman"/>
                <w:color w:val="auto"/>
                <w:sz w:val="23"/>
                <w:highlight w:val="none"/>
                <w:lang w:eastAsia="en-US"/>
              </w:rPr>
            </w:pPr>
          </w:p>
          <w:p>
            <w:pPr>
              <w:pStyle w:val="7"/>
              <w:autoSpaceDE w:val="0"/>
              <w:autoSpaceDN w:val="0"/>
              <w:ind w:left="253" w:right="253"/>
              <w:rPr>
                <w:color w:val="auto"/>
                <w:sz w:val="20"/>
                <w:highlight w:val="none"/>
                <w:lang w:eastAsia="en-US"/>
              </w:rPr>
            </w:pPr>
            <w:r>
              <w:rPr>
                <w:color w:val="auto"/>
                <w:sz w:val="20"/>
                <w:highlight w:val="none"/>
                <w:lang w:eastAsia="en-US"/>
              </w:rPr>
              <w:t>实验课</w:t>
            </w: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X</w:t>
            </w:r>
            <w:r>
              <w:rPr>
                <w:color w:val="auto"/>
                <w:spacing w:val="-50"/>
                <w:sz w:val="20"/>
                <w:highlight w:val="none"/>
                <w:lang w:eastAsia="zh-CN"/>
              </w:rPr>
              <w:t xml:space="preserve"> </w:t>
            </w:r>
            <w:r>
              <w:rPr>
                <w:color w:val="auto"/>
                <w:sz w:val="20"/>
                <w:highlight w:val="none"/>
                <w:lang w:eastAsia="zh-CN"/>
              </w:rPr>
              <w:t>射线单晶衍射与结构解析</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30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en-US"/>
              </w:rPr>
            </w:pPr>
            <w:r>
              <w:rPr>
                <w:color w:val="auto"/>
                <w:sz w:val="20"/>
                <w:highlight w:val="none"/>
                <w:lang w:eastAsia="en-US"/>
              </w:rPr>
              <w:t>生物材料实验</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en-US"/>
              </w:rPr>
            </w:pPr>
            <w:r>
              <w:rPr>
                <w:color w:val="auto"/>
                <w:sz w:val="20"/>
                <w:highlight w:val="none"/>
                <w:lang w:eastAsia="en-US"/>
              </w:rPr>
              <w:t>电磁场技术实验</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30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半导体器件的制备与表征</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光电材料的制备与性能检测</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有机半导体材料性能测试</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30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exact"/>
        </w:trPr>
        <w:tc>
          <w:tcPr>
            <w:tcW w:w="1951" w:type="dxa"/>
            <w:vMerge w:val="continue"/>
          </w:tcPr>
          <w:p>
            <w:pPr>
              <w:autoSpaceDE w:val="0"/>
              <w:autoSpaceDN w:val="0"/>
              <w:rPr>
                <w:color w:val="auto"/>
                <w:highlight w:val="none"/>
                <w:lang w:eastAsia="en-US"/>
              </w:rPr>
            </w:pPr>
          </w:p>
        </w:tc>
        <w:tc>
          <w:tcPr>
            <w:tcW w:w="4339" w:type="dxa"/>
          </w:tcPr>
          <w:p>
            <w:pPr>
              <w:pStyle w:val="7"/>
              <w:autoSpaceDE w:val="0"/>
              <w:autoSpaceDN w:val="0"/>
              <w:spacing w:before="30"/>
              <w:ind w:left="147" w:right="147"/>
              <w:rPr>
                <w:color w:val="auto"/>
                <w:sz w:val="20"/>
                <w:highlight w:val="none"/>
                <w:lang w:eastAsia="zh-CN"/>
              </w:rPr>
            </w:pPr>
            <w:r>
              <w:rPr>
                <w:color w:val="auto"/>
                <w:sz w:val="20"/>
                <w:highlight w:val="none"/>
                <w:lang w:eastAsia="zh-CN"/>
              </w:rPr>
              <w:t>可分解高分子材料实验</w:t>
            </w:r>
          </w:p>
        </w:tc>
        <w:tc>
          <w:tcPr>
            <w:tcW w:w="993" w:type="dxa"/>
          </w:tcPr>
          <w:p>
            <w:pPr>
              <w:pStyle w:val="7"/>
              <w:autoSpaceDE w:val="0"/>
              <w:autoSpaceDN w:val="0"/>
              <w:spacing w:before="30"/>
              <w:ind w:left="34" w:right="34"/>
              <w:rPr>
                <w:color w:val="auto"/>
                <w:sz w:val="20"/>
                <w:highlight w:val="none"/>
                <w:lang w:eastAsia="en-US"/>
              </w:rPr>
            </w:pPr>
            <w:r>
              <w:rPr>
                <w:color w:val="auto"/>
                <w:sz w:val="20"/>
                <w:highlight w:val="none"/>
                <w:lang w:eastAsia="en-US"/>
              </w:rPr>
              <w:t>40</w:t>
            </w:r>
          </w:p>
        </w:tc>
        <w:tc>
          <w:tcPr>
            <w:tcW w:w="992" w:type="dxa"/>
          </w:tcPr>
          <w:p>
            <w:pPr>
              <w:pStyle w:val="7"/>
              <w:autoSpaceDE w:val="0"/>
              <w:autoSpaceDN w:val="0"/>
              <w:spacing w:before="30"/>
              <w:ind w:left="293"/>
              <w:jc w:val="left"/>
              <w:rPr>
                <w:color w:val="auto"/>
                <w:sz w:val="20"/>
                <w:highlight w:val="none"/>
                <w:lang w:eastAsia="en-US"/>
              </w:rPr>
            </w:pPr>
            <w:r>
              <w:rPr>
                <w:color w:val="auto"/>
                <w:sz w:val="20"/>
                <w:highlight w:val="none"/>
                <w:lang w:eastAsia="en-US"/>
              </w:rPr>
              <w:t>1.00</w:t>
            </w:r>
          </w:p>
        </w:tc>
        <w:tc>
          <w:tcPr>
            <w:tcW w:w="1326" w:type="dxa"/>
          </w:tcPr>
          <w:p>
            <w:pPr>
              <w:autoSpaceDE w:val="0"/>
              <w:autoSpaceDN w:val="0"/>
              <w:rPr>
                <w:color w:val="auto"/>
                <w:highlight w:val="none"/>
                <w:lang w:eastAsia="en-US"/>
              </w:rPr>
            </w:pPr>
          </w:p>
        </w:tc>
      </w:tr>
    </w:tbl>
    <w:p>
      <w:pPr>
        <w:pStyle w:val="2"/>
        <w:spacing w:before="9"/>
        <w:rPr>
          <w:rFonts w:ascii="Times New Roman"/>
          <w:color w:val="auto"/>
          <w:sz w:val="29"/>
          <w:highlight w:val="none"/>
        </w:rPr>
      </w:pPr>
    </w:p>
    <w:p>
      <w:pPr>
        <w:spacing w:line="420" w:lineRule="exact"/>
        <w:rPr>
          <w:color w:val="auto"/>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2BF37"/>
    <w:multiLevelType w:val="singleLevel"/>
    <w:tmpl w:val="A1C2BF37"/>
    <w:lvl w:ilvl="0" w:tentative="0">
      <w:start w:val="2"/>
      <w:numFmt w:val="chineseCounting"/>
      <w:suff w:val="nothing"/>
      <w:lvlText w:val="%1、"/>
      <w:lvlJc w:val="left"/>
      <w:rPr>
        <w:rFonts w:hint="eastAsia"/>
      </w:rPr>
    </w:lvl>
  </w:abstractNum>
  <w:abstractNum w:abstractNumId="1">
    <w:nsid w:val="A6E7924D"/>
    <w:multiLevelType w:val="singleLevel"/>
    <w:tmpl w:val="A6E7924D"/>
    <w:lvl w:ilvl="0" w:tentative="0">
      <w:start w:val="4"/>
      <w:numFmt w:val="decimal"/>
      <w:lvlText w:val="%1."/>
      <w:lvlJc w:val="left"/>
      <w:pPr>
        <w:tabs>
          <w:tab w:val="left" w:pos="312"/>
        </w:tabs>
      </w:pPr>
    </w:lvl>
  </w:abstractNum>
  <w:abstractNum w:abstractNumId="2">
    <w:nsid w:val="B97B7EA2"/>
    <w:multiLevelType w:val="singleLevel"/>
    <w:tmpl w:val="B97B7EA2"/>
    <w:lvl w:ilvl="0" w:tentative="0">
      <w:start w:val="2"/>
      <w:numFmt w:val="decimal"/>
      <w:lvlText w:val="%1."/>
      <w:lvlJc w:val="left"/>
      <w:pPr>
        <w:tabs>
          <w:tab w:val="left" w:pos="312"/>
        </w:tabs>
      </w:pPr>
    </w:lvl>
  </w:abstractNum>
  <w:abstractNum w:abstractNumId="3">
    <w:nsid w:val="E4F859F2"/>
    <w:multiLevelType w:val="singleLevel"/>
    <w:tmpl w:val="E4F859F2"/>
    <w:lvl w:ilvl="0" w:tentative="0">
      <w:start w:val="3"/>
      <w:numFmt w:val="decimal"/>
      <w:lvlText w:val="%1."/>
      <w:lvlJc w:val="left"/>
      <w:pPr>
        <w:tabs>
          <w:tab w:val="left" w:pos="312"/>
        </w:tabs>
      </w:pPr>
    </w:lvl>
  </w:abstractNum>
  <w:abstractNum w:abstractNumId="4">
    <w:nsid w:val="70813D48"/>
    <w:multiLevelType w:val="singleLevel"/>
    <w:tmpl w:val="70813D48"/>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87773"/>
    <w:rsid w:val="00051DE1"/>
    <w:rsid w:val="002803AA"/>
    <w:rsid w:val="00321CA6"/>
    <w:rsid w:val="003B01DC"/>
    <w:rsid w:val="004517B4"/>
    <w:rsid w:val="004D18B3"/>
    <w:rsid w:val="006B3F65"/>
    <w:rsid w:val="009E2BF8"/>
    <w:rsid w:val="00B271D1"/>
    <w:rsid w:val="00B94CE6"/>
    <w:rsid w:val="00D46BFF"/>
    <w:rsid w:val="00FE0A70"/>
    <w:rsid w:val="0D345DD8"/>
    <w:rsid w:val="201D3858"/>
    <w:rsid w:val="279A1A28"/>
    <w:rsid w:val="30187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38"/>
    </w:pPr>
    <w:rPr>
      <w:sz w:val="24"/>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1"/>
    <w:pPr>
      <w:jc w:val="center"/>
    </w:pPr>
  </w:style>
  <w:style w:type="table" w:customStyle="1" w:styleId="8">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9">
    <w:name w:val="List Paragraph"/>
    <w:basedOn w:val="1"/>
    <w:qFormat/>
    <w:uiPriority w:val="34"/>
    <w:pPr>
      <w:ind w:firstLine="420" w:firstLineChars="200"/>
    </w:pPr>
    <w:rPr>
      <w:rFonts w:ascii="Calibri" w:hAnsi="Calibri"/>
      <w:szCs w:val="22"/>
    </w:rPr>
  </w:style>
  <w:style w:type="character" w:customStyle="1" w:styleId="10">
    <w:name w:val="页眉 字符"/>
    <w:basedOn w:val="6"/>
    <w:link w:val="4"/>
    <w:uiPriority w:val="0"/>
    <w:rPr>
      <w:kern w:val="2"/>
      <w:sz w:val="18"/>
      <w:szCs w:val="18"/>
    </w:rPr>
  </w:style>
  <w:style w:type="character" w:customStyle="1" w:styleId="11">
    <w:name w:val="页脚 字符"/>
    <w:basedOn w:val="6"/>
    <w:link w:val="3"/>
    <w:uiPriority w:val="0"/>
    <w:rPr>
      <w:kern w:val="2"/>
      <w:sz w:val="18"/>
      <w:szCs w:val="18"/>
    </w:rPr>
  </w:style>
  <w:style w:type="paragraph" w:customStyle="1" w:styleId="12">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1559</Words>
  <Characters>8887</Characters>
  <Lines>74</Lines>
  <Paragraphs>20</Paragraphs>
  <TotalTime>158</TotalTime>
  <ScaleCrop>false</ScaleCrop>
  <LinksUpToDate>false</LinksUpToDate>
  <CharactersWithSpaces>10426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2021-12-07T05:28:00Z</dcterms:created>
  <dc:creator>yongwx</dc:creator>
  <cp:lastModifiedBy>yongwx</cp:lastModifiedBy>
  <dcterms:modified xsi:type="dcterms:W3CDTF">2022-01-11T08:19:14Z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7A1181FAC4724EFD84FE3B829DACCAA2</vt:lpwstr>
  </property>
</Properties>
</file>